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38E35" w14:textId="77777777" w:rsidR="00CC49C3" w:rsidRPr="00B47F53" w:rsidRDefault="004C7F4C" w:rsidP="00CC49C3">
      <w:pPr>
        <w:pStyle w:val="Pa9"/>
        <w:spacing w:line="360" w:lineRule="auto"/>
        <w:ind w:left="280" w:hanging="280"/>
        <w:jc w:val="both"/>
        <w:rPr>
          <w:rStyle w:val="A5"/>
          <w:rFonts w:ascii="Times New Roman" w:hAnsi="Times New Roman" w:cs="Times New Roman"/>
          <w:sz w:val="20"/>
          <w:szCs w:val="20"/>
        </w:rPr>
      </w:pPr>
      <w:r w:rsidRPr="00B47F53">
        <w:rPr>
          <w:rFonts w:ascii="Times New Roman" w:hAnsi="Times New Roman" w:cs="Times New Roman"/>
          <w:noProof/>
          <w:sz w:val="20"/>
          <w:szCs w:val="20"/>
          <w:lang w:val="en-US"/>
        </w:rPr>
        <w:drawing>
          <wp:anchor distT="152400" distB="152400" distL="152400" distR="152400" simplePos="0" relativeHeight="251659264" behindDoc="0" locked="0" layoutInCell="1" allowOverlap="1" wp14:anchorId="093BBE81" wp14:editId="54080A71">
            <wp:simplePos x="0" y="0"/>
            <wp:positionH relativeFrom="margin">
              <wp:posOffset>3352800</wp:posOffset>
            </wp:positionH>
            <wp:positionV relativeFrom="page">
              <wp:posOffset>946785</wp:posOffset>
            </wp:positionV>
            <wp:extent cx="2390140" cy="487680"/>
            <wp:effectExtent l="0" t="0" r="0" b="7620"/>
            <wp:wrapThrough wrapText="bothSides" distL="152400" distR="152400">
              <wp:wrapPolygon edited="1">
                <wp:start x="1610" y="2405"/>
                <wp:lineTo x="1610" y="2546"/>
                <wp:lineTo x="1492" y="2704"/>
                <wp:lineTo x="1076" y="4301"/>
                <wp:lineTo x="954" y="6636"/>
                <wp:lineTo x="954" y="7374"/>
                <wp:lineTo x="986" y="17591"/>
                <wp:lineTo x="1252" y="19505"/>
                <wp:lineTo x="1789" y="20383"/>
                <wp:lineTo x="1789" y="7374"/>
                <wp:lineTo x="954" y="7374"/>
                <wp:lineTo x="954" y="6636"/>
                <wp:lineTo x="1969" y="6636"/>
                <wp:lineTo x="1969" y="16134"/>
                <wp:lineTo x="1969" y="20383"/>
                <wp:lineTo x="4059" y="20084"/>
                <wp:lineTo x="4414" y="18767"/>
                <wp:lineTo x="4594" y="16292"/>
                <wp:lineTo x="1969" y="16134"/>
                <wp:lineTo x="1969" y="6636"/>
                <wp:lineTo x="3579" y="6636"/>
                <wp:lineTo x="3579" y="2546"/>
                <wp:lineTo x="1610" y="2546"/>
                <wp:lineTo x="1610" y="2405"/>
                <wp:lineTo x="3758" y="2405"/>
                <wp:lineTo x="3758" y="2546"/>
                <wp:lineTo x="3758" y="15414"/>
                <wp:lineTo x="4594" y="15414"/>
                <wp:lineTo x="4565" y="5337"/>
                <wp:lineTo x="4239" y="3143"/>
                <wp:lineTo x="3758" y="2546"/>
                <wp:lineTo x="3758" y="2405"/>
                <wp:lineTo x="6057" y="2405"/>
                <wp:lineTo x="6057" y="2546"/>
                <wp:lineTo x="5759" y="3581"/>
                <wp:lineTo x="5698" y="13360"/>
                <wp:lineTo x="5906" y="13424"/>
                <wp:lineTo x="5906" y="15853"/>
                <wp:lineTo x="5730" y="15994"/>
                <wp:lineTo x="5730" y="20225"/>
                <wp:lineTo x="6387" y="20225"/>
                <wp:lineTo x="6444" y="19505"/>
                <wp:lineTo x="6387" y="18329"/>
                <wp:lineTo x="6387" y="17890"/>
                <wp:lineTo x="6415" y="16292"/>
                <wp:lineTo x="5967" y="15905"/>
                <wp:lineTo x="5967" y="16871"/>
                <wp:lineTo x="5967" y="18469"/>
                <wp:lineTo x="6175" y="18627"/>
                <wp:lineTo x="6207" y="19347"/>
                <wp:lineTo x="5996" y="19505"/>
                <wp:lineTo x="5967" y="18469"/>
                <wp:lineTo x="5967" y="16871"/>
                <wp:lineTo x="6146" y="16871"/>
                <wp:lineTo x="6207" y="17451"/>
                <wp:lineTo x="5996" y="17749"/>
                <wp:lineTo x="5967" y="16871"/>
                <wp:lineTo x="5967" y="15905"/>
                <wp:lineTo x="5906" y="15853"/>
                <wp:lineTo x="5906" y="13424"/>
                <wp:lineTo x="6207" y="13518"/>
                <wp:lineTo x="6207" y="8989"/>
                <wp:lineTo x="7011" y="8842"/>
                <wp:lineTo x="7011" y="15994"/>
                <wp:lineTo x="6742" y="20383"/>
                <wp:lineTo x="6982" y="20383"/>
                <wp:lineTo x="7011" y="19505"/>
                <wp:lineTo x="7312" y="19347"/>
                <wp:lineTo x="7341" y="20225"/>
                <wp:lineTo x="7610" y="20383"/>
                <wp:lineTo x="7369" y="16134"/>
                <wp:lineTo x="7190" y="16064"/>
                <wp:lineTo x="7190" y="17012"/>
                <wp:lineTo x="7251" y="18469"/>
                <wp:lineTo x="7100" y="18469"/>
                <wp:lineTo x="7190" y="17012"/>
                <wp:lineTo x="7190" y="16064"/>
                <wp:lineTo x="7011" y="15994"/>
                <wp:lineTo x="7011" y="8842"/>
                <wp:lineTo x="7072" y="8831"/>
                <wp:lineTo x="7072" y="7075"/>
                <wp:lineTo x="6207" y="7075"/>
                <wp:lineTo x="6236" y="4740"/>
                <wp:lineTo x="7190" y="4459"/>
                <wp:lineTo x="7222" y="2704"/>
                <wp:lineTo x="6057" y="2546"/>
                <wp:lineTo x="6057" y="2405"/>
                <wp:lineTo x="7459" y="2405"/>
                <wp:lineTo x="7398" y="2546"/>
                <wp:lineTo x="7398" y="4459"/>
                <wp:lineTo x="7398" y="5776"/>
                <wp:lineTo x="7398" y="13518"/>
                <wp:lineTo x="7846" y="13518"/>
                <wp:lineTo x="7879" y="5916"/>
                <wp:lineTo x="7398" y="5776"/>
                <wp:lineTo x="7398" y="4459"/>
                <wp:lineTo x="7818" y="4600"/>
                <wp:lineTo x="7846" y="2546"/>
                <wp:lineTo x="7459" y="2405"/>
                <wp:lineTo x="7936" y="2405"/>
                <wp:lineTo x="7936" y="15994"/>
                <wp:lineTo x="7907" y="20383"/>
                <wp:lineTo x="8115" y="20383"/>
                <wp:lineTo x="8144" y="17749"/>
                <wp:lineTo x="8413" y="20084"/>
                <wp:lineTo x="8653" y="20383"/>
                <wp:lineTo x="8714" y="15994"/>
                <wp:lineTo x="8474" y="15994"/>
                <wp:lineTo x="8474" y="18627"/>
                <wp:lineTo x="8205" y="16134"/>
                <wp:lineTo x="7936" y="15994"/>
                <wp:lineTo x="7936" y="2405"/>
                <wp:lineTo x="8890" y="2405"/>
                <wp:lineTo x="8890" y="5618"/>
                <wp:lineTo x="8535" y="6636"/>
                <wp:lineTo x="8474" y="5776"/>
                <wp:lineTo x="8087" y="5776"/>
                <wp:lineTo x="8087" y="13360"/>
                <wp:lineTo x="8563" y="13518"/>
                <wp:lineTo x="8563" y="8251"/>
                <wp:lineTo x="9040" y="7812"/>
                <wp:lineTo x="9069" y="6768"/>
                <wp:lineTo x="9069" y="15994"/>
                <wp:lineTo x="9069" y="20383"/>
                <wp:lineTo x="9309" y="20383"/>
                <wp:lineTo x="9309" y="18469"/>
                <wp:lineTo x="9517" y="20084"/>
                <wp:lineTo x="9815" y="20383"/>
                <wp:lineTo x="9578" y="18188"/>
                <wp:lineTo x="9786" y="16134"/>
                <wp:lineTo x="9550" y="15994"/>
                <wp:lineTo x="9370" y="17591"/>
                <wp:lineTo x="9309" y="15994"/>
                <wp:lineTo x="9069" y="15994"/>
                <wp:lineTo x="9069" y="6768"/>
                <wp:lineTo x="9101" y="5618"/>
                <wp:lineTo x="8890" y="5618"/>
                <wp:lineTo x="8890" y="2405"/>
                <wp:lineTo x="9639" y="2405"/>
                <wp:lineTo x="9639" y="5478"/>
                <wp:lineTo x="9281" y="6355"/>
                <wp:lineTo x="9220" y="8690"/>
                <wp:lineTo x="9309" y="9428"/>
                <wp:lineTo x="10145" y="10727"/>
                <wp:lineTo x="10206" y="11605"/>
                <wp:lineTo x="9281" y="11903"/>
                <wp:lineTo x="9248" y="13360"/>
                <wp:lineTo x="10235" y="13659"/>
                <wp:lineTo x="10593" y="12921"/>
                <wp:lineTo x="10683" y="10586"/>
                <wp:lineTo x="10561" y="9568"/>
                <wp:lineTo x="9786" y="8392"/>
                <wp:lineTo x="9668" y="7514"/>
                <wp:lineTo x="10593" y="7233"/>
                <wp:lineTo x="10622" y="5776"/>
                <wp:lineTo x="9639" y="5478"/>
                <wp:lineTo x="9639" y="2405"/>
                <wp:lineTo x="10801" y="2405"/>
                <wp:lineTo x="10801" y="3581"/>
                <wp:lineTo x="10830" y="12342"/>
                <wp:lineTo x="10980" y="13360"/>
                <wp:lineTo x="11665" y="13518"/>
                <wp:lineTo x="11698" y="12043"/>
                <wp:lineTo x="11339" y="11605"/>
                <wp:lineTo x="11278" y="7514"/>
                <wp:lineTo x="11726" y="7374"/>
                <wp:lineTo x="11726" y="5776"/>
                <wp:lineTo x="11307" y="5776"/>
                <wp:lineTo x="11278" y="3581"/>
                <wp:lineTo x="10801" y="3581"/>
                <wp:lineTo x="10801" y="2405"/>
                <wp:lineTo x="12770" y="2405"/>
                <wp:lineTo x="12770" y="3862"/>
                <wp:lineTo x="12623" y="4020"/>
                <wp:lineTo x="12293" y="5179"/>
                <wp:lineTo x="12175" y="7953"/>
                <wp:lineTo x="12232" y="11763"/>
                <wp:lineTo x="12562" y="13360"/>
                <wp:lineTo x="13577" y="13360"/>
                <wp:lineTo x="13577" y="11763"/>
                <wp:lineTo x="12799" y="11763"/>
                <wp:lineTo x="12680" y="11166"/>
                <wp:lineTo x="12623" y="7075"/>
                <wp:lineTo x="12741" y="5916"/>
                <wp:lineTo x="13516" y="5776"/>
                <wp:lineTo x="13544" y="4161"/>
                <wp:lineTo x="12770" y="3862"/>
                <wp:lineTo x="12770" y="2405"/>
                <wp:lineTo x="14054" y="2405"/>
                <wp:lineTo x="14054" y="6496"/>
                <wp:lineTo x="13813" y="6636"/>
                <wp:lineTo x="13756" y="7812"/>
                <wp:lineTo x="14531" y="8111"/>
                <wp:lineTo x="14592" y="9270"/>
                <wp:lineTo x="14115" y="9270"/>
                <wp:lineTo x="14115" y="10586"/>
                <wp:lineTo x="14592" y="10586"/>
                <wp:lineTo x="14559" y="11605"/>
                <wp:lineTo x="14143" y="12043"/>
                <wp:lineTo x="14115" y="10586"/>
                <wp:lineTo x="14115" y="9270"/>
                <wp:lineTo x="13935" y="9270"/>
                <wp:lineTo x="13724" y="10007"/>
                <wp:lineTo x="13666" y="12043"/>
                <wp:lineTo x="13813" y="13220"/>
                <wp:lineTo x="14262" y="13659"/>
                <wp:lineTo x="14620" y="12640"/>
                <wp:lineTo x="14681" y="13518"/>
                <wp:lineTo x="15008" y="13518"/>
                <wp:lineTo x="15008" y="7953"/>
                <wp:lineTo x="14828" y="6794"/>
                <wp:lineTo x="14054" y="6496"/>
                <wp:lineTo x="14054" y="2405"/>
                <wp:lineTo x="15933" y="2405"/>
                <wp:lineTo x="15933" y="6496"/>
                <wp:lineTo x="15606" y="7514"/>
                <wp:lineTo x="15545" y="6794"/>
                <wp:lineTo x="15187" y="6636"/>
                <wp:lineTo x="15187" y="16292"/>
                <wp:lineTo x="15606" y="16292"/>
                <wp:lineTo x="15606" y="13079"/>
                <wp:lineTo x="15696" y="13360"/>
                <wp:lineTo x="16320" y="13518"/>
                <wp:lineTo x="16532" y="12482"/>
                <wp:lineTo x="16589" y="8831"/>
                <wp:lineTo x="16381" y="6794"/>
                <wp:lineTo x="16051" y="6574"/>
                <wp:lineTo x="16051" y="8251"/>
                <wp:lineTo x="16112" y="8392"/>
                <wp:lineTo x="16112" y="11763"/>
                <wp:lineTo x="15606" y="11903"/>
                <wp:lineTo x="15606" y="8690"/>
                <wp:lineTo x="15696" y="8392"/>
                <wp:lineTo x="16051" y="8251"/>
                <wp:lineTo x="16051" y="6574"/>
                <wp:lineTo x="15933" y="6496"/>
                <wp:lineTo x="15933" y="2405"/>
                <wp:lineTo x="16797" y="2405"/>
                <wp:lineTo x="16797" y="3722"/>
                <wp:lineTo x="16740" y="5478"/>
                <wp:lineTo x="16740" y="6636"/>
                <wp:lineTo x="16740" y="13518"/>
                <wp:lineTo x="17156" y="13518"/>
                <wp:lineTo x="17156" y="6636"/>
                <wp:lineTo x="16740" y="6636"/>
                <wp:lineTo x="16740" y="5478"/>
                <wp:lineTo x="17127" y="5618"/>
                <wp:lineTo x="17156" y="4020"/>
                <wp:lineTo x="16797" y="3722"/>
                <wp:lineTo x="16797" y="2405"/>
                <wp:lineTo x="17335" y="2405"/>
                <wp:lineTo x="17335" y="4740"/>
                <wp:lineTo x="17306" y="11903"/>
                <wp:lineTo x="17453" y="13360"/>
                <wp:lineTo x="18052" y="13518"/>
                <wp:lineTo x="18081" y="12043"/>
                <wp:lineTo x="17783" y="11903"/>
                <wp:lineTo x="17722" y="8111"/>
                <wp:lineTo x="18081" y="8111"/>
                <wp:lineTo x="18113" y="6935"/>
                <wp:lineTo x="17754" y="6636"/>
                <wp:lineTo x="17722" y="4740"/>
                <wp:lineTo x="17335" y="4740"/>
                <wp:lineTo x="17335" y="2405"/>
                <wp:lineTo x="18647" y="2405"/>
                <wp:lineTo x="18647" y="6496"/>
                <wp:lineTo x="18321" y="6794"/>
                <wp:lineTo x="18350" y="8111"/>
                <wp:lineTo x="19096" y="8111"/>
                <wp:lineTo x="19185" y="9129"/>
                <wp:lineTo x="19157" y="9134"/>
                <wp:lineTo x="19157" y="10586"/>
                <wp:lineTo x="19157" y="11605"/>
                <wp:lineTo x="18737" y="12043"/>
                <wp:lineTo x="18680" y="10727"/>
                <wp:lineTo x="19157" y="10586"/>
                <wp:lineTo x="19157" y="9134"/>
                <wp:lineTo x="18500" y="9270"/>
                <wp:lineTo x="18321" y="9849"/>
                <wp:lineTo x="18260" y="12482"/>
                <wp:lineTo x="18378" y="13220"/>
                <wp:lineTo x="18827" y="13659"/>
                <wp:lineTo x="19185" y="12640"/>
                <wp:lineTo x="19246" y="13360"/>
                <wp:lineTo x="19573" y="13518"/>
                <wp:lineTo x="19605" y="8392"/>
                <wp:lineTo x="19426" y="6794"/>
                <wp:lineTo x="18647" y="6496"/>
                <wp:lineTo x="18647" y="2405"/>
                <wp:lineTo x="19781" y="2405"/>
                <wp:lineTo x="19781" y="3862"/>
                <wp:lineTo x="19752" y="12201"/>
                <wp:lineTo x="19902" y="13360"/>
                <wp:lineTo x="20469" y="13518"/>
                <wp:lineTo x="20469" y="12043"/>
                <wp:lineTo x="20229" y="11903"/>
                <wp:lineTo x="20171" y="3862"/>
                <wp:lineTo x="19781" y="3862"/>
                <wp:lineTo x="19781" y="2405"/>
                <wp:lineTo x="1610" y="2405"/>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FCB-LOGO.png"/>
                    <pic:cNvPicPr>
                      <a:picLocks noChangeAspect="1"/>
                    </pic:cNvPicPr>
                  </pic:nvPicPr>
                  <pic:blipFill>
                    <a:blip r:embed="rId8"/>
                    <a:srcRect t="38234" b="47325"/>
                    <a:stretch>
                      <a:fillRect/>
                    </a:stretch>
                  </pic:blipFill>
                  <pic:spPr>
                    <a:xfrm>
                      <a:off x="0" y="0"/>
                      <a:ext cx="2390140" cy="487680"/>
                    </a:xfrm>
                    <a:prstGeom prst="rect">
                      <a:avLst/>
                    </a:prstGeom>
                    <a:ln w="12700" cap="flat">
                      <a:noFill/>
                      <a:miter lim="400000"/>
                    </a:ln>
                    <a:effectLst/>
                  </pic:spPr>
                </pic:pic>
              </a:graphicData>
            </a:graphic>
          </wp:anchor>
        </w:drawing>
      </w:r>
    </w:p>
    <w:p w14:paraId="500377F2" w14:textId="77777777" w:rsidR="00BC50D1" w:rsidRPr="00B47F53" w:rsidRDefault="00A95B1D" w:rsidP="00EB6370">
      <w:pPr>
        <w:pStyle w:val="Pa9"/>
        <w:spacing w:line="360" w:lineRule="auto"/>
        <w:ind w:left="280" w:hanging="280"/>
        <w:jc w:val="both"/>
        <w:rPr>
          <w:rFonts w:ascii="Times New Roman" w:hAnsi="Times New Roman" w:cs="Times New Roman"/>
          <w:color w:val="000000"/>
          <w:sz w:val="20"/>
          <w:szCs w:val="20"/>
        </w:rPr>
      </w:pPr>
      <w:r w:rsidRPr="00B47F53">
        <w:rPr>
          <w:rStyle w:val="A5"/>
          <w:rFonts w:ascii="Times New Roman" w:hAnsi="Times New Roman" w:cs="Times New Roman"/>
          <w:sz w:val="20"/>
          <w:szCs w:val="20"/>
        </w:rPr>
        <w:br/>
      </w:r>
      <w:r w:rsidR="00BC50D1" w:rsidRPr="00B47F53">
        <w:rPr>
          <w:rStyle w:val="A5"/>
          <w:rFonts w:ascii="Times New Roman" w:hAnsi="Times New Roman" w:cs="Times New Roman"/>
          <w:sz w:val="20"/>
          <w:szCs w:val="20"/>
        </w:rPr>
        <w:t xml:space="preserve">                                                                                                                   </w:t>
      </w:r>
    </w:p>
    <w:p w14:paraId="301D5FF3" w14:textId="77777777" w:rsidR="00BC50D1" w:rsidRPr="00B47F53" w:rsidRDefault="00EB6370" w:rsidP="00A95B1D">
      <w:pPr>
        <w:rPr>
          <w:rFonts w:ascii="Times New Roman" w:hAnsi="Times New Roman" w:cs="Times New Roman"/>
          <w:color w:val="92D050"/>
          <w:sz w:val="20"/>
          <w:szCs w:val="20"/>
        </w:rPr>
      </w:pPr>
      <w:r w:rsidRPr="00B47F53">
        <w:rPr>
          <w:rFonts w:ascii="Times New Roman" w:hAnsi="Times New Roman" w:cs="Times New Roman"/>
          <w:color w:val="92D050"/>
          <w:sz w:val="20"/>
          <w:szCs w:val="20"/>
        </w:rPr>
        <w:t>________________________________________</w:t>
      </w:r>
    </w:p>
    <w:p w14:paraId="71F6A95E" w14:textId="77777777" w:rsidR="00A95B1D" w:rsidRPr="00B47F53" w:rsidRDefault="00BC50D1" w:rsidP="00A95B1D">
      <w:pPr>
        <w:rPr>
          <w:rFonts w:ascii="Times New Roman" w:hAnsi="Times New Roman" w:cs="Times New Roman"/>
          <w:b/>
          <w:color w:val="92D050"/>
          <w:sz w:val="20"/>
          <w:szCs w:val="20"/>
        </w:rPr>
      </w:pPr>
      <w:r w:rsidRPr="00B47F53">
        <w:rPr>
          <w:rFonts w:ascii="Times New Roman" w:hAnsi="Times New Roman" w:cs="Times New Roman"/>
          <w:b/>
          <w:color w:val="92D050"/>
          <w:sz w:val="20"/>
          <w:szCs w:val="20"/>
        </w:rPr>
        <w:t>Basel Pillar 3 Disclosures</w:t>
      </w:r>
    </w:p>
    <w:p w14:paraId="1ECC6EEA" w14:textId="5D906AD7" w:rsidR="00BC50D1" w:rsidRPr="00B47F53" w:rsidRDefault="00865A5F" w:rsidP="00A95B1D">
      <w:pPr>
        <w:rPr>
          <w:rFonts w:ascii="Times New Roman" w:hAnsi="Times New Roman" w:cs="Times New Roman"/>
          <w:b/>
          <w:sz w:val="20"/>
          <w:szCs w:val="20"/>
        </w:rPr>
      </w:pPr>
      <w:r w:rsidRPr="00B47F53">
        <w:rPr>
          <w:rFonts w:ascii="Times New Roman" w:hAnsi="Times New Roman" w:cs="Times New Roman"/>
          <w:b/>
          <w:sz w:val="20"/>
          <w:szCs w:val="20"/>
        </w:rPr>
        <w:t>For the Quarter Ende</w:t>
      </w:r>
      <w:r w:rsidR="00BC50D1" w:rsidRPr="00B47F53">
        <w:rPr>
          <w:rFonts w:ascii="Times New Roman" w:hAnsi="Times New Roman" w:cs="Times New Roman"/>
          <w:b/>
          <w:sz w:val="20"/>
          <w:szCs w:val="20"/>
        </w:rPr>
        <w:t xml:space="preserve">d </w:t>
      </w:r>
      <w:r w:rsidR="00642437" w:rsidRPr="00B47F53">
        <w:rPr>
          <w:rFonts w:ascii="Times New Roman" w:hAnsi="Times New Roman" w:cs="Times New Roman"/>
          <w:b/>
          <w:sz w:val="20"/>
          <w:szCs w:val="20"/>
        </w:rPr>
        <w:t>3</w:t>
      </w:r>
      <w:r w:rsidR="00D074CA">
        <w:rPr>
          <w:rFonts w:ascii="Times New Roman" w:hAnsi="Times New Roman" w:cs="Times New Roman"/>
          <w:b/>
          <w:sz w:val="20"/>
          <w:szCs w:val="20"/>
        </w:rPr>
        <w:t>1</w:t>
      </w:r>
      <w:r w:rsidR="00642437" w:rsidRPr="00B47F53">
        <w:rPr>
          <w:rFonts w:ascii="Times New Roman" w:hAnsi="Times New Roman" w:cs="Times New Roman"/>
          <w:b/>
          <w:sz w:val="20"/>
          <w:szCs w:val="20"/>
        </w:rPr>
        <w:t xml:space="preserve"> </w:t>
      </w:r>
      <w:r w:rsidR="0090456E">
        <w:rPr>
          <w:rFonts w:ascii="Times New Roman" w:hAnsi="Times New Roman" w:cs="Times New Roman"/>
          <w:b/>
          <w:sz w:val="20"/>
          <w:szCs w:val="20"/>
        </w:rPr>
        <w:t>March</w:t>
      </w:r>
      <w:r w:rsidR="00786AC0" w:rsidRPr="00B47F53">
        <w:rPr>
          <w:rFonts w:ascii="Times New Roman" w:hAnsi="Times New Roman" w:cs="Times New Roman"/>
          <w:b/>
          <w:sz w:val="20"/>
          <w:szCs w:val="20"/>
        </w:rPr>
        <w:t xml:space="preserve"> </w:t>
      </w:r>
      <w:r w:rsidR="00051A8A" w:rsidRPr="00B47F53">
        <w:rPr>
          <w:rFonts w:ascii="Times New Roman" w:hAnsi="Times New Roman" w:cs="Times New Roman"/>
          <w:b/>
          <w:sz w:val="20"/>
          <w:szCs w:val="20"/>
        </w:rPr>
        <w:t>202</w:t>
      </w:r>
      <w:r w:rsidR="0090456E">
        <w:rPr>
          <w:rFonts w:ascii="Times New Roman" w:hAnsi="Times New Roman" w:cs="Times New Roman"/>
          <w:b/>
          <w:sz w:val="20"/>
          <w:szCs w:val="20"/>
        </w:rPr>
        <w:t>2</w:t>
      </w:r>
    </w:p>
    <w:p w14:paraId="23C7D2EA" w14:textId="77777777" w:rsidR="00A95B1D" w:rsidRPr="00B47F53" w:rsidRDefault="00A95B1D" w:rsidP="00A95B1D">
      <w:pPr>
        <w:rPr>
          <w:rFonts w:ascii="Times New Roman" w:hAnsi="Times New Roman" w:cs="Times New Roman"/>
          <w:sz w:val="20"/>
          <w:szCs w:val="20"/>
        </w:rPr>
      </w:pPr>
    </w:p>
    <w:p w14:paraId="43F30E8F" w14:textId="77777777" w:rsidR="00A95B1D" w:rsidRPr="00B47F53" w:rsidRDefault="00A95B1D" w:rsidP="00A95B1D">
      <w:pPr>
        <w:rPr>
          <w:rFonts w:ascii="Times New Roman" w:hAnsi="Times New Roman" w:cs="Times New Roman"/>
          <w:sz w:val="20"/>
          <w:szCs w:val="20"/>
        </w:rPr>
      </w:pPr>
    </w:p>
    <w:p w14:paraId="5E825C96" w14:textId="77777777" w:rsidR="00A95B1D" w:rsidRPr="00B47F53" w:rsidRDefault="00A95B1D" w:rsidP="00A95B1D">
      <w:pPr>
        <w:rPr>
          <w:rFonts w:ascii="Times New Roman" w:hAnsi="Times New Roman" w:cs="Times New Roman"/>
          <w:sz w:val="20"/>
          <w:szCs w:val="20"/>
        </w:rPr>
      </w:pPr>
    </w:p>
    <w:p w14:paraId="4A26E220" w14:textId="77777777" w:rsidR="00A95B1D" w:rsidRPr="00B47F53" w:rsidRDefault="00A95B1D" w:rsidP="00A95B1D">
      <w:pPr>
        <w:rPr>
          <w:rFonts w:ascii="Times New Roman" w:hAnsi="Times New Roman" w:cs="Times New Roman"/>
          <w:sz w:val="20"/>
          <w:szCs w:val="20"/>
        </w:rPr>
      </w:pPr>
    </w:p>
    <w:p w14:paraId="50BDB439" w14:textId="77777777" w:rsidR="00A95B1D" w:rsidRPr="00B47F53" w:rsidRDefault="00A95B1D" w:rsidP="00A95B1D">
      <w:pPr>
        <w:rPr>
          <w:rFonts w:ascii="Times New Roman" w:hAnsi="Times New Roman" w:cs="Times New Roman"/>
          <w:sz w:val="20"/>
          <w:szCs w:val="20"/>
        </w:rPr>
      </w:pPr>
    </w:p>
    <w:p w14:paraId="18B7DD4E" w14:textId="77777777" w:rsidR="00A95B1D" w:rsidRPr="00B47F53" w:rsidRDefault="00A95B1D" w:rsidP="00A95B1D">
      <w:pPr>
        <w:rPr>
          <w:rFonts w:ascii="Times New Roman" w:hAnsi="Times New Roman" w:cs="Times New Roman"/>
          <w:sz w:val="20"/>
          <w:szCs w:val="20"/>
        </w:rPr>
      </w:pPr>
    </w:p>
    <w:p w14:paraId="60B1B0B5" w14:textId="77777777" w:rsidR="00A95B1D" w:rsidRPr="00B47F53" w:rsidRDefault="00A95B1D" w:rsidP="00A95B1D">
      <w:pPr>
        <w:rPr>
          <w:rFonts w:ascii="Times New Roman" w:hAnsi="Times New Roman" w:cs="Times New Roman"/>
          <w:sz w:val="20"/>
          <w:szCs w:val="20"/>
        </w:rPr>
      </w:pPr>
    </w:p>
    <w:p w14:paraId="1BD4F283" w14:textId="77777777" w:rsidR="00A95B1D" w:rsidRPr="00B47F53" w:rsidRDefault="00A95B1D" w:rsidP="00A95B1D">
      <w:pPr>
        <w:rPr>
          <w:rFonts w:ascii="Times New Roman" w:hAnsi="Times New Roman" w:cs="Times New Roman"/>
          <w:sz w:val="20"/>
          <w:szCs w:val="20"/>
        </w:rPr>
      </w:pPr>
    </w:p>
    <w:p w14:paraId="53684E80" w14:textId="77777777" w:rsidR="00A95B1D" w:rsidRPr="00B47F53" w:rsidRDefault="00A95B1D" w:rsidP="00A95B1D">
      <w:pPr>
        <w:rPr>
          <w:rFonts w:ascii="Times New Roman" w:hAnsi="Times New Roman" w:cs="Times New Roman"/>
          <w:sz w:val="20"/>
          <w:szCs w:val="20"/>
        </w:rPr>
      </w:pPr>
    </w:p>
    <w:p w14:paraId="63986634" w14:textId="77777777" w:rsidR="00A95B1D" w:rsidRPr="00B47F53" w:rsidRDefault="00A95B1D" w:rsidP="00A95B1D">
      <w:pPr>
        <w:rPr>
          <w:rFonts w:ascii="Times New Roman" w:hAnsi="Times New Roman" w:cs="Times New Roman"/>
          <w:sz w:val="20"/>
          <w:szCs w:val="20"/>
        </w:rPr>
      </w:pPr>
    </w:p>
    <w:p w14:paraId="6895D3B2" w14:textId="77777777" w:rsidR="00A95B1D" w:rsidRPr="00B47F53" w:rsidRDefault="00A95B1D" w:rsidP="00A95B1D">
      <w:pPr>
        <w:rPr>
          <w:rFonts w:ascii="Times New Roman" w:hAnsi="Times New Roman" w:cs="Times New Roman"/>
          <w:sz w:val="20"/>
          <w:szCs w:val="20"/>
        </w:rPr>
      </w:pPr>
    </w:p>
    <w:p w14:paraId="56E748B3" w14:textId="77777777" w:rsidR="00A95B1D" w:rsidRPr="00B47F53" w:rsidRDefault="00A95B1D" w:rsidP="00A95B1D">
      <w:pPr>
        <w:rPr>
          <w:rFonts w:ascii="Times New Roman" w:hAnsi="Times New Roman" w:cs="Times New Roman"/>
          <w:sz w:val="20"/>
          <w:szCs w:val="20"/>
        </w:rPr>
      </w:pPr>
    </w:p>
    <w:p w14:paraId="01DCF098" w14:textId="77777777" w:rsidR="00A95B1D" w:rsidRPr="00B47F53" w:rsidRDefault="00A95B1D" w:rsidP="00A95B1D">
      <w:pPr>
        <w:rPr>
          <w:rFonts w:ascii="Times New Roman" w:hAnsi="Times New Roman" w:cs="Times New Roman"/>
          <w:sz w:val="20"/>
          <w:szCs w:val="20"/>
        </w:rPr>
      </w:pPr>
    </w:p>
    <w:p w14:paraId="1406AA79" w14:textId="77777777" w:rsidR="00A95B1D" w:rsidRPr="00B47F53" w:rsidRDefault="00A95B1D" w:rsidP="00A95B1D">
      <w:pPr>
        <w:rPr>
          <w:rFonts w:ascii="Times New Roman" w:hAnsi="Times New Roman" w:cs="Times New Roman"/>
          <w:sz w:val="20"/>
          <w:szCs w:val="20"/>
        </w:rPr>
      </w:pPr>
    </w:p>
    <w:p w14:paraId="5EC6A0BA" w14:textId="77777777" w:rsidR="00A95B1D" w:rsidRPr="00B47F53" w:rsidRDefault="00A95B1D" w:rsidP="00A95B1D">
      <w:pPr>
        <w:rPr>
          <w:rFonts w:ascii="Times New Roman" w:hAnsi="Times New Roman" w:cs="Times New Roman"/>
          <w:sz w:val="20"/>
          <w:szCs w:val="20"/>
        </w:rPr>
      </w:pPr>
    </w:p>
    <w:p w14:paraId="0510D5F7" w14:textId="77777777" w:rsidR="00EB6370" w:rsidRPr="00B47F53" w:rsidRDefault="00EB6370" w:rsidP="00A95B1D">
      <w:pPr>
        <w:rPr>
          <w:rFonts w:ascii="Times New Roman" w:hAnsi="Times New Roman" w:cs="Times New Roman"/>
          <w:sz w:val="20"/>
          <w:szCs w:val="20"/>
        </w:rPr>
      </w:pPr>
    </w:p>
    <w:p w14:paraId="71ED28C3" w14:textId="77777777" w:rsidR="00A95B1D" w:rsidRPr="00B47F53" w:rsidRDefault="00A95B1D" w:rsidP="00A95B1D">
      <w:pPr>
        <w:rPr>
          <w:rFonts w:ascii="Times New Roman" w:hAnsi="Times New Roman" w:cs="Times New Roman"/>
          <w:sz w:val="20"/>
          <w:szCs w:val="20"/>
        </w:rPr>
      </w:pPr>
    </w:p>
    <w:p w14:paraId="3241BE59" w14:textId="77777777" w:rsidR="00EB6370" w:rsidRPr="00B47F53" w:rsidRDefault="00EB6370" w:rsidP="00A95B1D">
      <w:pPr>
        <w:rPr>
          <w:rFonts w:ascii="Times New Roman" w:hAnsi="Times New Roman" w:cs="Times New Roman"/>
          <w:sz w:val="20"/>
          <w:szCs w:val="20"/>
        </w:rPr>
      </w:pPr>
    </w:p>
    <w:p w14:paraId="1F301967" w14:textId="77777777" w:rsidR="00EB6370" w:rsidRPr="00B47F53" w:rsidRDefault="00EB6370" w:rsidP="00A95B1D">
      <w:pPr>
        <w:rPr>
          <w:rFonts w:ascii="Times New Roman" w:hAnsi="Times New Roman" w:cs="Times New Roman"/>
          <w:sz w:val="20"/>
          <w:szCs w:val="20"/>
        </w:rPr>
      </w:pPr>
    </w:p>
    <w:p w14:paraId="134B3952" w14:textId="4F80AAC0" w:rsidR="00EB6370" w:rsidRDefault="00EB6370" w:rsidP="00A95B1D">
      <w:pPr>
        <w:rPr>
          <w:rFonts w:ascii="Times New Roman" w:hAnsi="Times New Roman" w:cs="Times New Roman"/>
          <w:sz w:val="20"/>
          <w:szCs w:val="20"/>
        </w:rPr>
      </w:pPr>
    </w:p>
    <w:p w14:paraId="16236ACF" w14:textId="67C53F9E" w:rsidR="007E1603" w:rsidRDefault="007E1603" w:rsidP="00A95B1D">
      <w:pPr>
        <w:rPr>
          <w:rFonts w:ascii="Times New Roman" w:hAnsi="Times New Roman" w:cs="Times New Roman"/>
          <w:sz w:val="20"/>
          <w:szCs w:val="20"/>
        </w:rPr>
      </w:pPr>
    </w:p>
    <w:p w14:paraId="152687FD" w14:textId="77777777" w:rsidR="007E1603" w:rsidRPr="00B47F53" w:rsidRDefault="007E1603" w:rsidP="00A95B1D">
      <w:pPr>
        <w:rPr>
          <w:rFonts w:ascii="Times New Roman" w:hAnsi="Times New Roman" w:cs="Times New Roman"/>
          <w:sz w:val="20"/>
          <w:szCs w:val="20"/>
        </w:rPr>
      </w:pPr>
    </w:p>
    <w:p w14:paraId="47E2BB68" w14:textId="77777777" w:rsidR="002F39EA" w:rsidRPr="00B47F53" w:rsidRDefault="002F39EA" w:rsidP="00A95B1D">
      <w:pPr>
        <w:rPr>
          <w:rFonts w:ascii="Times New Roman" w:hAnsi="Times New Roman" w:cs="Times New Roman"/>
          <w:sz w:val="20"/>
          <w:szCs w:val="20"/>
        </w:rPr>
      </w:pPr>
    </w:p>
    <w:p w14:paraId="603C5C98" w14:textId="77777777" w:rsidR="00A7216A" w:rsidRPr="00B47F53" w:rsidRDefault="00A7216A" w:rsidP="00A95B1D">
      <w:pPr>
        <w:rPr>
          <w:rFonts w:ascii="Times New Roman" w:hAnsi="Times New Roman" w:cs="Times New Roman"/>
          <w:sz w:val="20"/>
          <w:szCs w:val="20"/>
        </w:rPr>
      </w:pPr>
    </w:p>
    <w:sdt>
      <w:sdtPr>
        <w:rPr>
          <w:rFonts w:ascii="Times New Roman" w:eastAsiaTheme="minorHAnsi" w:hAnsi="Times New Roman" w:cs="Times New Roman"/>
          <w:b w:val="0"/>
          <w:bCs w:val="0"/>
          <w:color w:val="auto"/>
          <w:sz w:val="20"/>
          <w:szCs w:val="20"/>
          <w:lang w:val="en-ZA" w:eastAsia="en-US"/>
        </w:rPr>
        <w:id w:val="-69657033"/>
        <w:docPartObj>
          <w:docPartGallery w:val="Table of Contents"/>
          <w:docPartUnique/>
        </w:docPartObj>
      </w:sdtPr>
      <w:sdtEndPr>
        <w:rPr>
          <w:noProof/>
        </w:rPr>
      </w:sdtEndPr>
      <w:sdtContent>
        <w:p w14:paraId="06B92EEE" w14:textId="77777777" w:rsidR="00BC50D1" w:rsidRPr="00B47F53" w:rsidRDefault="00062153">
          <w:pPr>
            <w:pStyle w:val="TOCHeading"/>
            <w:rPr>
              <w:rFonts w:ascii="Times New Roman" w:hAnsi="Times New Roman" w:cs="Times New Roman"/>
              <w:b w:val="0"/>
              <w:color w:val="92D050"/>
              <w:sz w:val="20"/>
              <w:szCs w:val="20"/>
            </w:rPr>
          </w:pPr>
          <w:r w:rsidRPr="00B47F53">
            <w:rPr>
              <w:rFonts w:ascii="Times New Roman" w:hAnsi="Times New Roman" w:cs="Times New Roman"/>
              <w:b w:val="0"/>
              <w:color w:val="92D050"/>
              <w:sz w:val="20"/>
              <w:szCs w:val="20"/>
            </w:rPr>
            <w:t>Table of Contents</w:t>
          </w:r>
        </w:p>
        <w:p w14:paraId="3E020882" w14:textId="77777777" w:rsidR="007650B4" w:rsidRDefault="00062153">
          <w:pPr>
            <w:pStyle w:val="TOC1"/>
            <w:tabs>
              <w:tab w:val="left" w:pos="660"/>
              <w:tab w:val="right" w:leader="dot" w:pos="9016"/>
            </w:tabs>
            <w:rPr>
              <w:noProof/>
            </w:rPr>
          </w:pPr>
          <w:r w:rsidRPr="00B47F53">
            <w:rPr>
              <w:rFonts w:ascii="Times New Roman" w:hAnsi="Times New Roman" w:cs="Times New Roman"/>
              <w:sz w:val="20"/>
              <w:szCs w:val="20"/>
            </w:rPr>
            <w:t xml:space="preserve">    </w:t>
          </w:r>
          <w:r w:rsidR="00BC50D1" w:rsidRPr="00B47F53">
            <w:rPr>
              <w:rFonts w:ascii="Times New Roman" w:hAnsi="Times New Roman" w:cs="Times New Roman"/>
              <w:sz w:val="20"/>
              <w:szCs w:val="20"/>
            </w:rPr>
            <w:fldChar w:fldCharType="begin"/>
          </w:r>
          <w:r w:rsidR="00BC50D1" w:rsidRPr="00B47F53">
            <w:rPr>
              <w:rFonts w:ascii="Times New Roman" w:hAnsi="Times New Roman" w:cs="Times New Roman"/>
              <w:sz w:val="20"/>
              <w:szCs w:val="20"/>
            </w:rPr>
            <w:instrText xml:space="preserve"> TOC \o "1-3" \h \z \u </w:instrText>
          </w:r>
          <w:r w:rsidR="00BC50D1" w:rsidRPr="00B47F53">
            <w:rPr>
              <w:rFonts w:ascii="Times New Roman" w:hAnsi="Times New Roman" w:cs="Times New Roman"/>
              <w:sz w:val="20"/>
              <w:szCs w:val="20"/>
            </w:rPr>
            <w:fldChar w:fldCharType="separate"/>
          </w:r>
        </w:p>
        <w:p w14:paraId="6F0D4B99" w14:textId="578DEB6E" w:rsidR="007650B4" w:rsidRDefault="00291CA4">
          <w:pPr>
            <w:pStyle w:val="TOC1"/>
            <w:tabs>
              <w:tab w:val="left" w:pos="660"/>
              <w:tab w:val="right" w:leader="dot" w:pos="9016"/>
            </w:tabs>
            <w:rPr>
              <w:rFonts w:eastAsiaTheme="minorEastAsia"/>
              <w:noProof/>
            </w:rPr>
          </w:pPr>
          <w:hyperlink w:anchor="_Toc100839088" w:history="1">
            <w:r w:rsidR="007650B4" w:rsidRPr="006672CF">
              <w:rPr>
                <w:rStyle w:val="Hyperlink"/>
                <w:rFonts w:ascii="Times New Roman" w:eastAsia="Times New Roman" w:hAnsi="Times New Roman" w:cs="Times New Roman"/>
                <w:noProof/>
                <w:lang w:eastAsia="en-ZA"/>
              </w:rPr>
              <w:t>1.0</w:t>
            </w:r>
            <w:r w:rsidR="007650B4">
              <w:rPr>
                <w:rFonts w:eastAsiaTheme="minorEastAsia"/>
                <w:noProof/>
              </w:rPr>
              <w:tab/>
            </w:r>
            <w:r w:rsidR="007650B4" w:rsidRPr="006672CF">
              <w:rPr>
                <w:rStyle w:val="Hyperlink"/>
                <w:rFonts w:ascii="Times New Roman" w:eastAsia="Times New Roman" w:hAnsi="Times New Roman" w:cs="Times New Roman"/>
                <w:noProof/>
                <w:lang w:eastAsia="en-ZA"/>
              </w:rPr>
              <w:t>Background and Scope</w:t>
            </w:r>
            <w:r w:rsidR="007650B4">
              <w:rPr>
                <w:noProof/>
                <w:webHidden/>
              </w:rPr>
              <w:tab/>
            </w:r>
            <w:r w:rsidR="007650B4">
              <w:rPr>
                <w:noProof/>
                <w:webHidden/>
              </w:rPr>
              <w:fldChar w:fldCharType="begin"/>
            </w:r>
            <w:r w:rsidR="007650B4">
              <w:rPr>
                <w:noProof/>
                <w:webHidden/>
              </w:rPr>
              <w:instrText xml:space="preserve"> PAGEREF _Toc100839088 \h </w:instrText>
            </w:r>
            <w:r w:rsidR="007650B4">
              <w:rPr>
                <w:noProof/>
                <w:webHidden/>
              </w:rPr>
            </w:r>
            <w:r w:rsidR="007650B4">
              <w:rPr>
                <w:noProof/>
                <w:webHidden/>
              </w:rPr>
              <w:fldChar w:fldCharType="separate"/>
            </w:r>
            <w:r w:rsidR="003460D0">
              <w:rPr>
                <w:noProof/>
                <w:webHidden/>
              </w:rPr>
              <w:t>3</w:t>
            </w:r>
            <w:r w:rsidR="007650B4">
              <w:rPr>
                <w:noProof/>
                <w:webHidden/>
              </w:rPr>
              <w:fldChar w:fldCharType="end"/>
            </w:r>
          </w:hyperlink>
        </w:p>
        <w:p w14:paraId="6C1A2DC2" w14:textId="2C23D2FB" w:rsidR="007650B4" w:rsidRDefault="00291CA4">
          <w:pPr>
            <w:pStyle w:val="TOC1"/>
            <w:tabs>
              <w:tab w:val="left" w:pos="660"/>
              <w:tab w:val="right" w:leader="dot" w:pos="9016"/>
            </w:tabs>
            <w:rPr>
              <w:rFonts w:eastAsiaTheme="minorEastAsia"/>
              <w:noProof/>
            </w:rPr>
          </w:pPr>
          <w:hyperlink w:anchor="_Toc100839089" w:history="1">
            <w:r w:rsidR="007650B4" w:rsidRPr="006672CF">
              <w:rPr>
                <w:rStyle w:val="Hyperlink"/>
                <w:rFonts w:ascii="Times New Roman" w:hAnsi="Times New Roman" w:cs="Times New Roman"/>
                <w:noProof/>
              </w:rPr>
              <w:t>2.0</w:t>
            </w:r>
            <w:r w:rsidR="007650B4">
              <w:rPr>
                <w:rFonts w:eastAsiaTheme="minorEastAsia"/>
                <w:noProof/>
              </w:rPr>
              <w:tab/>
            </w:r>
            <w:r w:rsidR="007650B4" w:rsidRPr="006672CF">
              <w:rPr>
                <w:rStyle w:val="Hyperlink"/>
                <w:rFonts w:ascii="Times New Roman" w:hAnsi="Times New Roman" w:cs="Times New Roman"/>
                <w:noProof/>
              </w:rPr>
              <w:t>Regulatory Capital Requirements</w:t>
            </w:r>
            <w:r w:rsidR="007650B4">
              <w:rPr>
                <w:noProof/>
                <w:webHidden/>
              </w:rPr>
              <w:tab/>
            </w:r>
            <w:r w:rsidR="007650B4">
              <w:rPr>
                <w:noProof/>
                <w:webHidden/>
              </w:rPr>
              <w:fldChar w:fldCharType="begin"/>
            </w:r>
            <w:r w:rsidR="007650B4">
              <w:rPr>
                <w:noProof/>
                <w:webHidden/>
              </w:rPr>
              <w:instrText xml:space="preserve"> PAGEREF _Toc100839089 \h </w:instrText>
            </w:r>
            <w:r w:rsidR="007650B4">
              <w:rPr>
                <w:noProof/>
                <w:webHidden/>
              </w:rPr>
            </w:r>
            <w:r w:rsidR="007650B4">
              <w:rPr>
                <w:noProof/>
                <w:webHidden/>
              </w:rPr>
              <w:fldChar w:fldCharType="separate"/>
            </w:r>
            <w:r w:rsidR="003460D0">
              <w:rPr>
                <w:noProof/>
                <w:webHidden/>
              </w:rPr>
              <w:t>4</w:t>
            </w:r>
            <w:r w:rsidR="007650B4">
              <w:rPr>
                <w:noProof/>
                <w:webHidden/>
              </w:rPr>
              <w:fldChar w:fldCharType="end"/>
            </w:r>
          </w:hyperlink>
        </w:p>
        <w:p w14:paraId="435A4B03" w14:textId="418D3C7B" w:rsidR="007650B4" w:rsidRDefault="00291CA4">
          <w:pPr>
            <w:pStyle w:val="TOC2"/>
            <w:tabs>
              <w:tab w:val="right" w:leader="dot" w:pos="9016"/>
            </w:tabs>
            <w:rPr>
              <w:rFonts w:eastAsiaTheme="minorEastAsia"/>
              <w:noProof/>
            </w:rPr>
          </w:pPr>
          <w:hyperlink w:anchor="_Toc100839090" w:history="1">
            <w:r w:rsidR="007650B4" w:rsidRPr="006672CF">
              <w:rPr>
                <w:rStyle w:val="Hyperlink"/>
                <w:rFonts w:ascii="Times New Roman" w:hAnsi="Times New Roman" w:cs="Times New Roman"/>
                <w:noProof/>
              </w:rPr>
              <w:t>2.1        Capital Structure</w:t>
            </w:r>
            <w:r w:rsidR="007650B4">
              <w:rPr>
                <w:noProof/>
                <w:webHidden/>
              </w:rPr>
              <w:tab/>
            </w:r>
            <w:r w:rsidR="007650B4">
              <w:rPr>
                <w:noProof/>
                <w:webHidden/>
              </w:rPr>
              <w:fldChar w:fldCharType="begin"/>
            </w:r>
            <w:r w:rsidR="007650B4">
              <w:rPr>
                <w:noProof/>
                <w:webHidden/>
              </w:rPr>
              <w:instrText xml:space="preserve"> PAGEREF _Toc100839090 \h </w:instrText>
            </w:r>
            <w:r w:rsidR="007650B4">
              <w:rPr>
                <w:noProof/>
                <w:webHidden/>
              </w:rPr>
            </w:r>
            <w:r w:rsidR="007650B4">
              <w:rPr>
                <w:noProof/>
                <w:webHidden/>
              </w:rPr>
              <w:fldChar w:fldCharType="separate"/>
            </w:r>
            <w:r w:rsidR="003460D0">
              <w:rPr>
                <w:noProof/>
                <w:webHidden/>
              </w:rPr>
              <w:t>4</w:t>
            </w:r>
            <w:r w:rsidR="007650B4">
              <w:rPr>
                <w:noProof/>
                <w:webHidden/>
              </w:rPr>
              <w:fldChar w:fldCharType="end"/>
            </w:r>
          </w:hyperlink>
        </w:p>
        <w:p w14:paraId="79FC7C57" w14:textId="1D4114A1" w:rsidR="007650B4" w:rsidRDefault="00291CA4">
          <w:pPr>
            <w:pStyle w:val="TOC2"/>
            <w:tabs>
              <w:tab w:val="right" w:leader="dot" w:pos="9016"/>
            </w:tabs>
            <w:rPr>
              <w:rFonts w:eastAsiaTheme="minorEastAsia"/>
              <w:noProof/>
            </w:rPr>
          </w:pPr>
          <w:hyperlink w:anchor="_Toc100839091" w:history="1">
            <w:r w:rsidR="007650B4" w:rsidRPr="006672CF">
              <w:rPr>
                <w:rStyle w:val="Hyperlink"/>
                <w:rFonts w:ascii="Times New Roman" w:hAnsi="Times New Roman" w:cs="Times New Roman"/>
                <w:noProof/>
              </w:rPr>
              <w:t>2.2    Capital Adequacy</w:t>
            </w:r>
            <w:r w:rsidR="007650B4">
              <w:rPr>
                <w:noProof/>
                <w:webHidden/>
              </w:rPr>
              <w:tab/>
            </w:r>
            <w:r w:rsidR="007650B4">
              <w:rPr>
                <w:noProof/>
                <w:webHidden/>
              </w:rPr>
              <w:fldChar w:fldCharType="begin"/>
            </w:r>
            <w:r w:rsidR="007650B4">
              <w:rPr>
                <w:noProof/>
                <w:webHidden/>
              </w:rPr>
              <w:instrText xml:space="preserve"> PAGEREF _Toc100839091 \h </w:instrText>
            </w:r>
            <w:r w:rsidR="007650B4">
              <w:rPr>
                <w:noProof/>
                <w:webHidden/>
              </w:rPr>
            </w:r>
            <w:r w:rsidR="007650B4">
              <w:rPr>
                <w:noProof/>
                <w:webHidden/>
              </w:rPr>
              <w:fldChar w:fldCharType="separate"/>
            </w:r>
            <w:r w:rsidR="003460D0">
              <w:rPr>
                <w:noProof/>
                <w:webHidden/>
              </w:rPr>
              <w:t>8</w:t>
            </w:r>
            <w:r w:rsidR="007650B4">
              <w:rPr>
                <w:noProof/>
                <w:webHidden/>
              </w:rPr>
              <w:fldChar w:fldCharType="end"/>
            </w:r>
          </w:hyperlink>
        </w:p>
        <w:p w14:paraId="663B1608" w14:textId="5E6AF448" w:rsidR="007650B4" w:rsidRDefault="00291CA4">
          <w:pPr>
            <w:pStyle w:val="TOC3"/>
            <w:tabs>
              <w:tab w:val="right" w:leader="dot" w:pos="9016"/>
            </w:tabs>
            <w:rPr>
              <w:rFonts w:eastAsiaTheme="minorEastAsia"/>
              <w:noProof/>
            </w:rPr>
          </w:pPr>
          <w:hyperlink w:anchor="_Toc100839092" w:history="1">
            <w:r w:rsidR="007650B4" w:rsidRPr="006672CF">
              <w:rPr>
                <w:rStyle w:val="Hyperlink"/>
                <w:rFonts w:ascii="Times New Roman" w:hAnsi="Times New Roman" w:cs="Times New Roman"/>
                <w:noProof/>
              </w:rPr>
              <w:t>2.2.1 Qualitative Disclosures</w:t>
            </w:r>
            <w:r w:rsidR="007650B4">
              <w:rPr>
                <w:noProof/>
                <w:webHidden/>
              </w:rPr>
              <w:tab/>
            </w:r>
            <w:r w:rsidR="007650B4">
              <w:rPr>
                <w:noProof/>
                <w:webHidden/>
              </w:rPr>
              <w:fldChar w:fldCharType="begin"/>
            </w:r>
            <w:r w:rsidR="007650B4">
              <w:rPr>
                <w:noProof/>
                <w:webHidden/>
              </w:rPr>
              <w:instrText xml:space="preserve"> PAGEREF _Toc100839092 \h </w:instrText>
            </w:r>
            <w:r w:rsidR="007650B4">
              <w:rPr>
                <w:noProof/>
                <w:webHidden/>
              </w:rPr>
            </w:r>
            <w:r w:rsidR="007650B4">
              <w:rPr>
                <w:noProof/>
                <w:webHidden/>
              </w:rPr>
              <w:fldChar w:fldCharType="separate"/>
            </w:r>
            <w:r w:rsidR="003460D0">
              <w:rPr>
                <w:noProof/>
                <w:webHidden/>
              </w:rPr>
              <w:t>8</w:t>
            </w:r>
            <w:r w:rsidR="007650B4">
              <w:rPr>
                <w:noProof/>
                <w:webHidden/>
              </w:rPr>
              <w:fldChar w:fldCharType="end"/>
            </w:r>
          </w:hyperlink>
        </w:p>
        <w:p w14:paraId="03C917A3" w14:textId="1A4F4558" w:rsidR="007650B4" w:rsidRDefault="00291CA4">
          <w:pPr>
            <w:pStyle w:val="TOC3"/>
            <w:tabs>
              <w:tab w:val="right" w:leader="dot" w:pos="9016"/>
            </w:tabs>
            <w:rPr>
              <w:rFonts w:eastAsiaTheme="minorEastAsia"/>
              <w:noProof/>
            </w:rPr>
          </w:pPr>
          <w:hyperlink w:anchor="_Toc100839093" w:history="1">
            <w:r w:rsidR="007650B4" w:rsidRPr="006672CF">
              <w:rPr>
                <w:rStyle w:val="Hyperlink"/>
                <w:rFonts w:ascii="Times New Roman" w:hAnsi="Times New Roman" w:cs="Times New Roman"/>
                <w:noProof/>
              </w:rPr>
              <w:t>2.2.2 Quantitative disclosures</w:t>
            </w:r>
            <w:r w:rsidR="007650B4">
              <w:rPr>
                <w:noProof/>
                <w:webHidden/>
              </w:rPr>
              <w:tab/>
            </w:r>
            <w:r w:rsidR="007650B4">
              <w:rPr>
                <w:noProof/>
                <w:webHidden/>
              </w:rPr>
              <w:fldChar w:fldCharType="begin"/>
            </w:r>
            <w:r w:rsidR="007650B4">
              <w:rPr>
                <w:noProof/>
                <w:webHidden/>
              </w:rPr>
              <w:instrText xml:space="preserve"> PAGEREF _Toc100839093 \h </w:instrText>
            </w:r>
            <w:r w:rsidR="007650B4">
              <w:rPr>
                <w:noProof/>
                <w:webHidden/>
              </w:rPr>
            </w:r>
            <w:r w:rsidR="007650B4">
              <w:rPr>
                <w:noProof/>
                <w:webHidden/>
              </w:rPr>
              <w:fldChar w:fldCharType="separate"/>
            </w:r>
            <w:r w:rsidR="003460D0">
              <w:rPr>
                <w:noProof/>
                <w:webHidden/>
              </w:rPr>
              <w:t>9</w:t>
            </w:r>
            <w:r w:rsidR="007650B4">
              <w:rPr>
                <w:noProof/>
                <w:webHidden/>
              </w:rPr>
              <w:fldChar w:fldCharType="end"/>
            </w:r>
          </w:hyperlink>
        </w:p>
        <w:p w14:paraId="549C7CD0" w14:textId="769EB17A" w:rsidR="007650B4" w:rsidRDefault="00291CA4">
          <w:pPr>
            <w:pStyle w:val="TOC2"/>
            <w:tabs>
              <w:tab w:val="left" w:pos="660"/>
              <w:tab w:val="right" w:leader="dot" w:pos="9016"/>
            </w:tabs>
            <w:rPr>
              <w:rFonts w:eastAsiaTheme="minorEastAsia"/>
              <w:noProof/>
            </w:rPr>
          </w:pPr>
          <w:hyperlink w:anchor="_Toc100839094" w:history="1">
            <w:r w:rsidR="007650B4" w:rsidRPr="006672CF">
              <w:rPr>
                <w:rStyle w:val="Hyperlink"/>
                <w:rFonts w:ascii="Times New Roman" w:hAnsi="Times New Roman" w:cs="Times New Roman"/>
                <w:noProof/>
              </w:rPr>
              <w:t>c)</w:t>
            </w:r>
            <w:r w:rsidR="007650B4">
              <w:rPr>
                <w:rFonts w:eastAsiaTheme="minorEastAsia"/>
                <w:noProof/>
              </w:rPr>
              <w:tab/>
            </w:r>
            <w:r w:rsidR="007650B4" w:rsidRPr="006672CF">
              <w:rPr>
                <w:rStyle w:val="Hyperlink"/>
                <w:rFonts w:ascii="Times New Roman" w:hAnsi="Times New Roman" w:cs="Times New Roman"/>
                <w:noProof/>
              </w:rPr>
              <w:t>Capital requirement for Operational Risk</w:t>
            </w:r>
            <w:r w:rsidR="007650B4">
              <w:rPr>
                <w:noProof/>
                <w:webHidden/>
              </w:rPr>
              <w:tab/>
            </w:r>
            <w:r w:rsidR="007650B4">
              <w:rPr>
                <w:noProof/>
                <w:webHidden/>
              </w:rPr>
              <w:fldChar w:fldCharType="begin"/>
            </w:r>
            <w:r w:rsidR="007650B4">
              <w:rPr>
                <w:noProof/>
                <w:webHidden/>
              </w:rPr>
              <w:instrText xml:space="preserve"> PAGEREF _Toc100839094 \h </w:instrText>
            </w:r>
            <w:r w:rsidR="007650B4">
              <w:rPr>
                <w:noProof/>
                <w:webHidden/>
              </w:rPr>
            </w:r>
            <w:r w:rsidR="007650B4">
              <w:rPr>
                <w:noProof/>
                <w:webHidden/>
              </w:rPr>
              <w:fldChar w:fldCharType="separate"/>
            </w:r>
            <w:r w:rsidR="003460D0">
              <w:rPr>
                <w:noProof/>
                <w:webHidden/>
              </w:rPr>
              <w:t>11</w:t>
            </w:r>
            <w:r w:rsidR="007650B4">
              <w:rPr>
                <w:noProof/>
                <w:webHidden/>
              </w:rPr>
              <w:fldChar w:fldCharType="end"/>
            </w:r>
          </w:hyperlink>
        </w:p>
        <w:p w14:paraId="126D2509" w14:textId="72D61A0C" w:rsidR="007650B4" w:rsidRDefault="00291CA4">
          <w:pPr>
            <w:pStyle w:val="TOC2"/>
            <w:tabs>
              <w:tab w:val="right" w:leader="dot" w:pos="9016"/>
            </w:tabs>
            <w:rPr>
              <w:rFonts w:eastAsiaTheme="minorEastAsia"/>
              <w:noProof/>
            </w:rPr>
          </w:pPr>
          <w:hyperlink w:anchor="_Toc100839095" w:history="1">
            <w:r w:rsidR="007650B4" w:rsidRPr="006672CF">
              <w:rPr>
                <w:rStyle w:val="Hyperlink"/>
                <w:rFonts w:ascii="Times New Roman" w:hAnsi="Times New Roman" w:cs="Times New Roman"/>
                <w:noProof/>
              </w:rPr>
              <w:t>Table 25: Regulatory and IFRS publication for First Capital Bank</w:t>
            </w:r>
            <w:r w:rsidR="007650B4">
              <w:rPr>
                <w:noProof/>
                <w:webHidden/>
              </w:rPr>
              <w:tab/>
            </w:r>
            <w:r w:rsidR="007650B4">
              <w:rPr>
                <w:noProof/>
                <w:webHidden/>
              </w:rPr>
              <w:fldChar w:fldCharType="begin"/>
            </w:r>
            <w:r w:rsidR="007650B4">
              <w:rPr>
                <w:noProof/>
                <w:webHidden/>
              </w:rPr>
              <w:instrText xml:space="preserve"> PAGEREF _Toc100839095 \h </w:instrText>
            </w:r>
            <w:r w:rsidR="007650B4">
              <w:rPr>
                <w:noProof/>
                <w:webHidden/>
              </w:rPr>
            </w:r>
            <w:r w:rsidR="007650B4">
              <w:rPr>
                <w:noProof/>
                <w:webHidden/>
              </w:rPr>
              <w:fldChar w:fldCharType="separate"/>
            </w:r>
            <w:r w:rsidR="003460D0">
              <w:rPr>
                <w:noProof/>
                <w:webHidden/>
              </w:rPr>
              <w:t>12</w:t>
            </w:r>
            <w:r w:rsidR="007650B4">
              <w:rPr>
                <w:noProof/>
                <w:webHidden/>
              </w:rPr>
              <w:fldChar w:fldCharType="end"/>
            </w:r>
          </w:hyperlink>
        </w:p>
        <w:p w14:paraId="00328C36" w14:textId="4103240F" w:rsidR="007650B4" w:rsidRDefault="00291CA4">
          <w:pPr>
            <w:pStyle w:val="TOC2"/>
            <w:tabs>
              <w:tab w:val="right" w:leader="dot" w:pos="9016"/>
            </w:tabs>
            <w:rPr>
              <w:rFonts w:eastAsiaTheme="minorEastAsia"/>
              <w:noProof/>
            </w:rPr>
          </w:pPr>
          <w:hyperlink w:anchor="_Toc100839096" w:history="1">
            <w:r w:rsidR="007650B4" w:rsidRPr="006672CF">
              <w:rPr>
                <w:rStyle w:val="Hyperlink"/>
                <w:rFonts w:ascii="Times New Roman" w:hAnsi="Times New Roman" w:cs="Times New Roman"/>
                <w:noProof/>
              </w:rPr>
              <w:t>Table 28: Main features of regulatory capital instruments</w:t>
            </w:r>
            <w:r w:rsidR="007650B4">
              <w:rPr>
                <w:noProof/>
                <w:webHidden/>
              </w:rPr>
              <w:tab/>
            </w:r>
            <w:r w:rsidR="007650B4">
              <w:rPr>
                <w:noProof/>
                <w:webHidden/>
              </w:rPr>
              <w:fldChar w:fldCharType="begin"/>
            </w:r>
            <w:r w:rsidR="007650B4">
              <w:rPr>
                <w:noProof/>
                <w:webHidden/>
              </w:rPr>
              <w:instrText xml:space="preserve"> PAGEREF _Toc100839096 \h </w:instrText>
            </w:r>
            <w:r w:rsidR="007650B4">
              <w:rPr>
                <w:noProof/>
                <w:webHidden/>
              </w:rPr>
            </w:r>
            <w:r w:rsidR="007650B4">
              <w:rPr>
                <w:noProof/>
                <w:webHidden/>
              </w:rPr>
              <w:fldChar w:fldCharType="separate"/>
            </w:r>
            <w:r w:rsidR="003460D0">
              <w:rPr>
                <w:noProof/>
                <w:webHidden/>
              </w:rPr>
              <w:t>16</w:t>
            </w:r>
            <w:r w:rsidR="007650B4">
              <w:rPr>
                <w:noProof/>
                <w:webHidden/>
              </w:rPr>
              <w:fldChar w:fldCharType="end"/>
            </w:r>
          </w:hyperlink>
        </w:p>
        <w:p w14:paraId="2E39A11A" w14:textId="679FD2AE" w:rsidR="007650B4" w:rsidRDefault="00291CA4">
          <w:pPr>
            <w:pStyle w:val="TOC1"/>
            <w:tabs>
              <w:tab w:val="left" w:pos="660"/>
              <w:tab w:val="right" w:leader="dot" w:pos="9016"/>
            </w:tabs>
            <w:rPr>
              <w:rFonts w:eastAsiaTheme="minorEastAsia"/>
              <w:noProof/>
            </w:rPr>
          </w:pPr>
          <w:hyperlink w:anchor="_Toc100839097" w:history="1">
            <w:r w:rsidR="007650B4" w:rsidRPr="006672CF">
              <w:rPr>
                <w:rStyle w:val="Hyperlink"/>
                <w:rFonts w:ascii="Times New Roman" w:hAnsi="Times New Roman" w:cs="Times New Roman"/>
                <w:noProof/>
              </w:rPr>
              <w:t>1.0</w:t>
            </w:r>
            <w:r w:rsidR="007650B4">
              <w:rPr>
                <w:rFonts w:eastAsiaTheme="minorEastAsia"/>
                <w:noProof/>
              </w:rPr>
              <w:tab/>
            </w:r>
            <w:r w:rsidR="007650B4" w:rsidRPr="006672CF">
              <w:rPr>
                <w:rStyle w:val="Hyperlink"/>
                <w:rFonts w:ascii="Times New Roman" w:hAnsi="Times New Roman" w:cs="Times New Roman"/>
                <w:noProof/>
              </w:rPr>
              <w:t>Credit Risk</w:t>
            </w:r>
            <w:r w:rsidR="007650B4">
              <w:rPr>
                <w:noProof/>
                <w:webHidden/>
              </w:rPr>
              <w:tab/>
            </w:r>
            <w:r w:rsidR="007650B4">
              <w:rPr>
                <w:noProof/>
                <w:webHidden/>
              </w:rPr>
              <w:fldChar w:fldCharType="begin"/>
            </w:r>
            <w:r w:rsidR="007650B4">
              <w:rPr>
                <w:noProof/>
                <w:webHidden/>
              </w:rPr>
              <w:instrText xml:space="preserve"> PAGEREF _Toc100839097 \h </w:instrText>
            </w:r>
            <w:r w:rsidR="007650B4">
              <w:rPr>
                <w:noProof/>
                <w:webHidden/>
              </w:rPr>
            </w:r>
            <w:r w:rsidR="007650B4">
              <w:rPr>
                <w:noProof/>
                <w:webHidden/>
              </w:rPr>
              <w:fldChar w:fldCharType="separate"/>
            </w:r>
            <w:r w:rsidR="003460D0">
              <w:rPr>
                <w:noProof/>
                <w:webHidden/>
              </w:rPr>
              <w:t>18</w:t>
            </w:r>
            <w:r w:rsidR="007650B4">
              <w:rPr>
                <w:noProof/>
                <w:webHidden/>
              </w:rPr>
              <w:fldChar w:fldCharType="end"/>
            </w:r>
          </w:hyperlink>
        </w:p>
        <w:p w14:paraId="73E61FBC" w14:textId="4B8CF55D" w:rsidR="007650B4" w:rsidRDefault="00291CA4">
          <w:pPr>
            <w:pStyle w:val="TOC2"/>
            <w:tabs>
              <w:tab w:val="right" w:leader="dot" w:pos="9016"/>
            </w:tabs>
            <w:rPr>
              <w:rFonts w:eastAsiaTheme="minorEastAsia"/>
              <w:noProof/>
            </w:rPr>
          </w:pPr>
          <w:hyperlink w:anchor="_Toc100839098" w:history="1">
            <w:r w:rsidR="007650B4" w:rsidRPr="006672CF">
              <w:rPr>
                <w:rStyle w:val="Hyperlink"/>
                <w:rFonts w:ascii="Times New Roman" w:hAnsi="Times New Roman" w:cs="Times New Roman"/>
                <w:noProof/>
              </w:rPr>
              <w:t>3.1 Credit Risk Mitigation</w:t>
            </w:r>
            <w:r w:rsidR="007650B4">
              <w:rPr>
                <w:noProof/>
                <w:webHidden/>
              </w:rPr>
              <w:tab/>
            </w:r>
            <w:r w:rsidR="007650B4">
              <w:rPr>
                <w:noProof/>
                <w:webHidden/>
              </w:rPr>
              <w:fldChar w:fldCharType="begin"/>
            </w:r>
            <w:r w:rsidR="007650B4">
              <w:rPr>
                <w:noProof/>
                <w:webHidden/>
              </w:rPr>
              <w:instrText xml:space="preserve"> PAGEREF _Toc100839098 \h </w:instrText>
            </w:r>
            <w:r w:rsidR="007650B4">
              <w:rPr>
                <w:noProof/>
                <w:webHidden/>
              </w:rPr>
            </w:r>
            <w:r w:rsidR="007650B4">
              <w:rPr>
                <w:noProof/>
                <w:webHidden/>
              </w:rPr>
              <w:fldChar w:fldCharType="separate"/>
            </w:r>
            <w:r w:rsidR="003460D0">
              <w:rPr>
                <w:noProof/>
                <w:webHidden/>
              </w:rPr>
              <w:t>22</w:t>
            </w:r>
            <w:r w:rsidR="007650B4">
              <w:rPr>
                <w:noProof/>
                <w:webHidden/>
              </w:rPr>
              <w:fldChar w:fldCharType="end"/>
            </w:r>
          </w:hyperlink>
        </w:p>
        <w:p w14:paraId="5E5C6DD9" w14:textId="1BB628A0" w:rsidR="007650B4" w:rsidRDefault="00291CA4">
          <w:pPr>
            <w:pStyle w:val="TOC1"/>
            <w:tabs>
              <w:tab w:val="left" w:pos="660"/>
              <w:tab w:val="right" w:leader="dot" w:pos="9016"/>
            </w:tabs>
            <w:rPr>
              <w:rFonts w:eastAsiaTheme="minorEastAsia"/>
              <w:noProof/>
            </w:rPr>
          </w:pPr>
          <w:hyperlink w:anchor="_Toc100839100" w:history="1">
            <w:r w:rsidR="007650B4" w:rsidRPr="006672CF">
              <w:rPr>
                <w:rStyle w:val="Hyperlink"/>
                <w:rFonts w:ascii="Times New Roman" w:hAnsi="Times New Roman" w:cs="Times New Roman"/>
                <w:noProof/>
              </w:rPr>
              <w:t>4.0</w:t>
            </w:r>
            <w:r w:rsidR="007650B4">
              <w:rPr>
                <w:rFonts w:eastAsiaTheme="minorEastAsia"/>
                <w:noProof/>
              </w:rPr>
              <w:tab/>
            </w:r>
            <w:r w:rsidR="007650B4" w:rsidRPr="006672CF">
              <w:rPr>
                <w:rStyle w:val="Hyperlink"/>
                <w:rFonts w:ascii="Times New Roman" w:hAnsi="Times New Roman" w:cs="Times New Roman"/>
                <w:noProof/>
              </w:rPr>
              <w:t>Market Risk</w:t>
            </w:r>
            <w:r w:rsidR="007650B4">
              <w:rPr>
                <w:noProof/>
                <w:webHidden/>
              </w:rPr>
              <w:tab/>
            </w:r>
            <w:r w:rsidR="007650B4">
              <w:rPr>
                <w:noProof/>
                <w:webHidden/>
              </w:rPr>
              <w:fldChar w:fldCharType="begin"/>
            </w:r>
            <w:r w:rsidR="007650B4">
              <w:rPr>
                <w:noProof/>
                <w:webHidden/>
              </w:rPr>
              <w:instrText xml:space="preserve"> PAGEREF _Toc100839100 \h </w:instrText>
            </w:r>
            <w:r w:rsidR="007650B4">
              <w:rPr>
                <w:noProof/>
                <w:webHidden/>
              </w:rPr>
            </w:r>
            <w:r w:rsidR="007650B4">
              <w:rPr>
                <w:noProof/>
                <w:webHidden/>
              </w:rPr>
              <w:fldChar w:fldCharType="separate"/>
            </w:r>
            <w:r w:rsidR="003460D0">
              <w:rPr>
                <w:noProof/>
                <w:webHidden/>
              </w:rPr>
              <w:t>24</w:t>
            </w:r>
            <w:r w:rsidR="007650B4">
              <w:rPr>
                <w:noProof/>
                <w:webHidden/>
              </w:rPr>
              <w:fldChar w:fldCharType="end"/>
            </w:r>
          </w:hyperlink>
        </w:p>
        <w:p w14:paraId="1AEF1618" w14:textId="02B17895" w:rsidR="007650B4" w:rsidRDefault="00291CA4">
          <w:pPr>
            <w:pStyle w:val="TOC1"/>
            <w:tabs>
              <w:tab w:val="left" w:pos="660"/>
              <w:tab w:val="right" w:leader="dot" w:pos="9016"/>
            </w:tabs>
            <w:rPr>
              <w:rFonts w:eastAsiaTheme="minorEastAsia"/>
              <w:noProof/>
            </w:rPr>
          </w:pPr>
          <w:hyperlink w:anchor="_Toc100839101" w:history="1">
            <w:r w:rsidR="007650B4" w:rsidRPr="006672CF">
              <w:rPr>
                <w:rStyle w:val="Hyperlink"/>
                <w:rFonts w:ascii="Times New Roman" w:hAnsi="Times New Roman" w:cs="Times New Roman"/>
                <w:noProof/>
              </w:rPr>
              <w:t>5.0</w:t>
            </w:r>
            <w:r w:rsidR="007650B4">
              <w:rPr>
                <w:rFonts w:eastAsiaTheme="minorEastAsia"/>
                <w:noProof/>
              </w:rPr>
              <w:tab/>
            </w:r>
            <w:r w:rsidR="007650B4" w:rsidRPr="006672CF">
              <w:rPr>
                <w:rStyle w:val="Hyperlink"/>
                <w:rFonts w:ascii="Times New Roman" w:hAnsi="Times New Roman" w:cs="Times New Roman"/>
                <w:noProof/>
              </w:rPr>
              <w:t>Operational risk</w:t>
            </w:r>
            <w:r w:rsidR="007650B4">
              <w:rPr>
                <w:noProof/>
                <w:webHidden/>
              </w:rPr>
              <w:tab/>
            </w:r>
            <w:r w:rsidR="007650B4">
              <w:rPr>
                <w:noProof/>
                <w:webHidden/>
              </w:rPr>
              <w:fldChar w:fldCharType="begin"/>
            </w:r>
            <w:r w:rsidR="007650B4">
              <w:rPr>
                <w:noProof/>
                <w:webHidden/>
              </w:rPr>
              <w:instrText xml:space="preserve"> PAGEREF _Toc100839101 \h </w:instrText>
            </w:r>
            <w:r w:rsidR="007650B4">
              <w:rPr>
                <w:noProof/>
                <w:webHidden/>
              </w:rPr>
            </w:r>
            <w:r w:rsidR="007650B4">
              <w:rPr>
                <w:noProof/>
                <w:webHidden/>
              </w:rPr>
              <w:fldChar w:fldCharType="separate"/>
            </w:r>
            <w:r w:rsidR="003460D0">
              <w:rPr>
                <w:noProof/>
                <w:webHidden/>
              </w:rPr>
              <w:t>26</w:t>
            </w:r>
            <w:r w:rsidR="007650B4">
              <w:rPr>
                <w:noProof/>
                <w:webHidden/>
              </w:rPr>
              <w:fldChar w:fldCharType="end"/>
            </w:r>
          </w:hyperlink>
        </w:p>
        <w:p w14:paraId="612F5EA6" w14:textId="53611FCB" w:rsidR="007650B4" w:rsidRDefault="00291CA4">
          <w:pPr>
            <w:pStyle w:val="TOC1"/>
            <w:tabs>
              <w:tab w:val="left" w:pos="660"/>
              <w:tab w:val="right" w:leader="dot" w:pos="9016"/>
            </w:tabs>
            <w:rPr>
              <w:rFonts w:eastAsiaTheme="minorEastAsia"/>
              <w:noProof/>
            </w:rPr>
          </w:pPr>
          <w:hyperlink w:anchor="_Toc100839102" w:history="1">
            <w:r w:rsidR="007650B4" w:rsidRPr="006672CF">
              <w:rPr>
                <w:rStyle w:val="Hyperlink"/>
                <w:rFonts w:ascii="Times New Roman" w:hAnsi="Times New Roman" w:cs="Times New Roman"/>
                <w:noProof/>
              </w:rPr>
              <w:t>2.0</w:t>
            </w:r>
            <w:r w:rsidR="007650B4">
              <w:rPr>
                <w:rFonts w:eastAsiaTheme="minorEastAsia"/>
                <w:noProof/>
              </w:rPr>
              <w:tab/>
            </w:r>
            <w:r w:rsidR="007650B4" w:rsidRPr="006672CF">
              <w:rPr>
                <w:rStyle w:val="Hyperlink"/>
                <w:rFonts w:ascii="Times New Roman" w:hAnsi="Times New Roman" w:cs="Times New Roman"/>
                <w:noProof/>
              </w:rPr>
              <w:t>Remuneration</w:t>
            </w:r>
            <w:r w:rsidR="007650B4">
              <w:rPr>
                <w:noProof/>
                <w:webHidden/>
              </w:rPr>
              <w:tab/>
            </w:r>
            <w:r w:rsidR="007650B4">
              <w:rPr>
                <w:noProof/>
                <w:webHidden/>
              </w:rPr>
              <w:fldChar w:fldCharType="begin"/>
            </w:r>
            <w:r w:rsidR="007650B4">
              <w:rPr>
                <w:noProof/>
                <w:webHidden/>
              </w:rPr>
              <w:instrText xml:space="preserve"> PAGEREF _Toc100839102 \h </w:instrText>
            </w:r>
            <w:r w:rsidR="007650B4">
              <w:rPr>
                <w:noProof/>
                <w:webHidden/>
              </w:rPr>
            </w:r>
            <w:r w:rsidR="007650B4">
              <w:rPr>
                <w:noProof/>
                <w:webHidden/>
              </w:rPr>
              <w:fldChar w:fldCharType="separate"/>
            </w:r>
            <w:r w:rsidR="003460D0">
              <w:rPr>
                <w:noProof/>
                <w:webHidden/>
              </w:rPr>
              <w:t>27</w:t>
            </w:r>
            <w:r w:rsidR="007650B4">
              <w:rPr>
                <w:noProof/>
                <w:webHidden/>
              </w:rPr>
              <w:fldChar w:fldCharType="end"/>
            </w:r>
          </w:hyperlink>
        </w:p>
        <w:p w14:paraId="449AB097" w14:textId="77777777" w:rsidR="00BC50D1" w:rsidRPr="00B47F53" w:rsidRDefault="00BC50D1">
          <w:pPr>
            <w:rPr>
              <w:rFonts w:ascii="Times New Roman" w:hAnsi="Times New Roman" w:cs="Times New Roman"/>
              <w:sz w:val="20"/>
              <w:szCs w:val="20"/>
            </w:rPr>
          </w:pPr>
          <w:r w:rsidRPr="00B47F53">
            <w:rPr>
              <w:rFonts w:ascii="Times New Roman" w:hAnsi="Times New Roman" w:cs="Times New Roman"/>
              <w:bCs/>
              <w:noProof/>
              <w:sz w:val="20"/>
              <w:szCs w:val="20"/>
            </w:rPr>
            <w:fldChar w:fldCharType="end"/>
          </w:r>
        </w:p>
      </w:sdtContent>
    </w:sdt>
    <w:p w14:paraId="7D756320" w14:textId="77777777" w:rsidR="00BC50D1" w:rsidRPr="00B47F53" w:rsidRDefault="00BC50D1" w:rsidP="00A95B1D">
      <w:pPr>
        <w:rPr>
          <w:rFonts w:ascii="Times New Roman" w:hAnsi="Times New Roman" w:cs="Times New Roman"/>
          <w:sz w:val="20"/>
          <w:szCs w:val="20"/>
        </w:rPr>
      </w:pPr>
    </w:p>
    <w:p w14:paraId="1B68AD66" w14:textId="77777777" w:rsidR="00A95B1D" w:rsidRPr="00B47F53" w:rsidRDefault="00A95B1D" w:rsidP="00A95B1D">
      <w:pPr>
        <w:rPr>
          <w:rFonts w:ascii="Times New Roman" w:hAnsi="Times New Roman" w:cs="Times New Roman"/>
          <w:sz w:val="20"/>
          <w:szCs w:val="20"/>
        </w:rPr>
      </w:pPr>
    </w:p>
    <w:p w14:paraId="19D0F5C1" w14:textId="77777777" w:rsidR="00A95B1D" w:rsidRPr="00B47F53" w:rsidRDefault="00A95B1D" w:rsidP="00A95B1D">
      <w:pPr>
        <w:rPr>
          <w:rFonts w:ascii="Times New Roman" w:hAnsi="Times New Roman" w:cs="Times New Roman"/>
          <w:sz w:val="20"/>
          <w:szCs w:val="20"/>
        </w:rPr>
      </w:pPr>
    </w:p>
    <w:p w14:paraId="00709C79" w14:textId="77777777" w:rsidR="00A95B1D" w:rsidRPr="00B47F53" w:rsidRDefault="00A95B1D" w:rsidP="00A95B1D">
      <w:pPr>
        <w:rPr>
          <w:rFonts w:ascii="Times New Roman" w:hAnsi="Times New Roman" w:cs="Times New Roman"/>
          <w:sz w:val="20"/>
          <w:szCs w:val="20"/>
        </w:rPr>
      </w:pPr>
    </w:p>
    <w:p w14:paraId="7B2F79A3" w14:textId="77777777" w:rsidR="00CC49C3" w:rsidRPr="00B47F53" w:rsidRDefault="00CC49C3" w:rsidP="00CC49C3">
      <w:pPr>
        <w:pStyle w:val="Pa9"/>
        <w:spacing w:line="360" w:lineRule="auto"/>
        <w:ind w:left="280" w:hanging="280"/>
        <w:jc w:val="both"/>
        <w:rPr>
          <w:rStyle w:val="A5"/>
          <w:rFonts w:ascii="Times New Roman" w:hAnsi="Times New Roman" w:cs="Times New Roman"/>
          <w:sz w:val="20"/>
          <w:szCs w:val="20"/>
        </w:rPr>
      </w:pPr>
    </w:p>
    <w:p w14:paraId="675A5E72" w14:textId="77777777" w:rsidR="00CC49C3" w:rsidRPr="00B47F53" w:rsidRDefault="00CC49C3" w:rsidP="00CC49C3">
      <w:pPr>
        <w:pStyle w:val="Pa9"/>
        <w:spacing w:line="360" w:lineRule="auto"/>
        <w:ind w:left="280" w:hanging="280"/>
        <w:jc w:val="both"/>
        <w:rPr>
          <w:rStyle w:val="A5"/>
          <w:rFonts w:ascii="Times New Roman" w:hAnsi="Times New Roman" w:cs="Times New Roman"/>
          <w:sz w:val="20"/>
          <w:szCs w:val="20"/>
        </w:rPr>
      </w:pPr>
    </w:p>
    <w:p w14:paraId="10E626F0" w14:textId="77777777" w:rsidR="00CC49C3" w:rsidRPr="00B47F53" w:rsidRDefault="00CC49C3" w:rsidP="00CC49C3">
      <w:pPr>
        <w:pStyle w:val="Pa9"/>
        <w:spacing w:line="360" w:lineRule="auto"/>
        <w:ind w:left="280" w:hanging="280"/>
        <w:jc w:val="both"/>
        <w:rPr>
          <w:rStyle w:val="A5"/>
          <w:rFonts w:ascii="Times New Roman" w:hAnsi="Times New Roman" w:cs="Times New Roman"/>
          <w:sz w:val="20"/>
          <w:szCs w:val="20"/>
        </w:rPr>
      </w:pPr>
    </w:p>
    <w:p w14:paraId="687091C3" w14:textId="77777777" w:rsidR="00CC49C3" w:rsidRPr="00B47F53" w:rsidRDefault="00CC49C3" w:rsidP="00CC49C3">
      <w:pPr>
        <w:pStyle w:val="Pa9"/>
        <w:spacing w:line="360" w:lineRule="auto"/>
        <w:ind w:left="280" w:hanging="280"/>
        <w:jc w:val="both"/>
        <w:rPr>
          <w:rStyle w:val="A5"/>
          <w:rFonts w:ascii="Times New Roman" w:hAnsi="Times New Roman" w:cs="Times New Roman"/>
          <w:sz w:val="20"/>
          <w:szCs w:val="20"/>
        </w:rPr>
      </w:pPr>
    </w:p>
    <w:p w14:paraId="4194D81B" w14:textId="77777777" w:rsidR="00CC49C3" w:rsidRPr="00B47F53" w:rsidRDefault="00CC49C3" w:rsidP="00CC49C3">
      <w:pPr>
        <w:pStyle w:val="Pa9"/>
        <w:spacing w:line="360" w:lineRule="auto"/>
        <w:ind w:left="280" w:hanging="280"/>
        <w:jc w:val="both"/>
        <w:rPr>
          <w:rStyle w:val="A5"/>
          <w:rFonts w:ascii="Times New Roman" w:hAnsi="Times New Roman" w:cs="Times New Roman"/>
          <w:sz w:val="20"/>
          <w:szCs w:val="20"/>
        </w:rPr>
      </w:pPr>
    </w:p>
    <w:p w14:paraId="06335DBA" w14:textId="77777777" w:rsidR="00CC49C3" w:rsidRPr="00B47F53" w:rsidRDefault="00CC49C3" w:rsidP="00CC49C3">
      <w:pPr>
        <w:pStyle w:val="Pa9"/>
        <w:spacing w:line="360" w:lineRule="auto"/>
        <w:ind w:left="280" w:hanging="280"/>
        <w:jc w:val="both"/>
        <w:rPr>
          <w:rStyle w:val="A5"/>
          <w:rFonts w:ascii="Times New Roman" w:hAnsi="Times New Roman" w:cs="Times New Roman"/>
          <w:sz w:val="20"/>
          <w:szCs w:val="20"/>
        </w:rPr>
      </w:pPr>
    </w:p>
    <w:p w14:paraId="7B9F5AD8" w14:textId="77777777" w:rsidR="00CC49C3" w:rsidRPr="00B47F53" w:rsidRDefault="00CC49C3" w:rsidP="00CC49C3">
      <w:pPr>
        <w:pStyle w:val="Pa9"/>
        <w:spacing w:line="360" w:lineRule="auto"/>
        <w:ind w:left="280" w:hanging="280"/>
        <w:jc w:val="both"/>
        <w:rPr>
          <w:rStyle w:val="A5"/>
          <w:rFonts w:ascii="Times New Roman" w:hAnsi="Times New Roman" w:cs="Times New Roman"/>
          <w:sz w:val="20"/>
          <w:szCs w:val="20"/>
        </w:rPr>
      </w:pPr>
    </w:p>
    <w:p w14:paraId="2B6D0C1A" w14:textId="77777777" w:rsidR="00CC49C3" w:rsidRPr="00B47F53" w:rsidRDefault="00CC49C3" w:rsidP="00CC49C3">
      <w:pPr>
        <w:pStyle w:val="Pa9"/>
        <w:spacing w:line="360" w:lineRule="auto"/>
        <w:ind w:left="280" w:hanging="280"/>
        <w:jc w:val="both"/>
        <w:rPr>
          <w:rStyle w:val="A5"/>
          <w:rFonts w:ascii="Times New Roman" w:hAnsi="Times New Roman" w:cs="Times New Roman"/>
          <w:sz w:val="20"/>
          <w:szCs w:val="20"/>
        </w:rPr>
      </w:pPr>
    </w:p>
    <w:p w14:paraId="11761033" w14:textId="77777777" w:rsidR="00CC49C3" w:rsidRPr="00B47F53" w:rsidRDefault="00CC49C3" w:rsidP="00CC49C3">
      <w:pPr>
        <w:pStyle w:val="Pa9"/>
        <w:spacing w:line="360" w:lineRule="auto"/>
        <w:ind w:left="280" w:hanging="280"/>
        <w:jc w:val="both"/>
        <w:rPr>
          <w:rStyle w:val="A5"/>
          <w:rFonts w:ascii="Times New Roman" w:hAnsi="Times New Roman" w:cs="Times New Roman"/>
          <w:sz w:val="20"/>
          <w:szCs w:val="20"/>
        </w:rPr>
      </w:pPr>
    </w:p>
    <w:p w14:paraId="79582454" w14:textId="77777777" w:rsidR="00CC49C3" w:rsidRPr="00B47F53" w:rsidRDefault="00CC49C3" w:rsidP="00CC49C3">
      <w:pPr>
        <w:pStyle w:val="Pa9"/>
        <w:spacing w:line="360" w:lineRule="auto"/>
        <w:ind w:left="280" w:hanging="280"/>
        <w:jc w:val="both"/>
        <w:rPr>
          <w:rStyle w:val="A5"/>
          <w:rFonts w:ascii="Times New Roman" w:hAnsi="Times New Roman" w:cs="Times New Roman"/>
          <w:sz w:val="20"/>
          <w:szCs w:val="20"/>
        </w:rPr>
      </w:pPr>
    </w:p>
    <w:p w14:paraId="4576A65F" w14:textId="77777777" w:rsidR="00CC49C3" w:rsidRPr="00B47F53" w:rsidRDefault="00CC49C3" w:rsidP="00CC49C3">
      <w:pPr>
        <w:pStyle w:val="Pa9"/>
        <w:spacing w:line="360" w:lineRule="auto"/>
        <w:ind w:left="280" w:hanging="280"/>
        <w:jc w:val="both"/>
        <w:rPr>
          <w:rStyle w:val="A5"/>
          <w:rFonts w:ascii="Times New Roman" w:hAnsi="Times New Roman" w:cs="Times New Roman"/>
          <w:sz w:val="20"/>
          <w:szCs w:val="20"/>
        </w:rPr>
      </w:pPr>
    </w:p>
    <w:p w14:paraId="73D96E17" w14:textId="77777777" w:rsidR="00BC50D1" w:rsidRPr="00B47F53" w:rsidRDefault="00BC50D1" w:rsidP="00BC50D1">
      <w:pPr>
        <w:rPr>
          <w:rFonts w:ascii="Times New Roman" w:hAnsi="Times New Roman" w:cs="Times New Roman"/>
          <w:sz w:val="20"/>
          <w:szCs w:val="20"/>
        </w:rPr>
      </w:pPr>
    </w:p>
    <w:p w14:paraId="7761518D" w14:textId="77777777" w:rsidR="00954E3E" w:rsidRPr="00B47F53" w:rsidRDefault="00954E3E" w:rsidP="00BC50D1">
      <w:pPr>
        <w:rPr>
          <w:rFonts w:ascii="Times New Roman" w:hAnsi="Times New Roman" w:cs="Times New Roman"/>
          <w:sz w:val="20"/>
          <w:szCs w:val="20"/>
        </w:rPr>
      </w:pPr>
    </w:p>
    <w:p w14:paraId="6B828F52" w14:textId="77777777" w:rsidR="00954E3E" w:rsidRPr="00B47F53" w:rsidRDefault="00954E3E" w:rsidP="00BC50D1">
      <w:pPr>
        <w:rPr>
          <w:rFonts w:ascii="Times New Roman" w:hAnsi="Times New Roman" w:cs="Times New Roman"/>
          <w:sz w:val="20"/>
          <w:szCs w:val="20"/>
        </w:rPr>
      </w:pPr>
    </w:p>
    <w:p w14:paraId="2FA0265D" w14:textId="77777777" w:rsidR="00062153" w:rsidRPr="00B47F53" w:rsidRDefault="00CD45D5" w:rsidP="00A26251">
      <w:pPr>
        <w:pStyle w:val="Heading1"/>
        <w:numPr>
          <w:ilvl w:val="0"/>
          <w:numId w:val="1"/>
        </w:numPr>
        <w:rPr>
          <w:rFonts w:ascii="Times New Roman" w:eastAsia="Times New Roman" w:hAnsi="Times New Roman" w:cs="Times New Roman"/>
          <w:color w:val="auto"/>
          <w:sz w:val="20"/>
          <w:szCs w:val="20"/>
          <w:lang w:eastAsia="en-ZA"/>
        </w:rPr>
      </w:pPr>
      <w:bookmarkStart w:id="0" w:name="_Toc100839088"/>
      <w:r w:rsidRPr="00B47F53">
        <w:rPr>
          <w:rFonts w:ascii="Times New Roman" w:eastAsia="Times New Roman" w:hAnsi="Times New Roman" w:cs="Times New Roman"/>
          <w:color w:val="auto"/>
          <w:sz w:val="20"/>
          <w:szCs w:val="20"/>
          <w:lang w:eastAsia="en-ZA"/>
        </w:rPr>
        <w:lastRenderedPageBreak/>
        <w:t>Background and Scope</w:t>
      </w:r>
      <w:bookmarkEnd w:id="0"/>
    </w:p>
    <w:p w14:paraId="2DEC9D05" w14:textId="77777777" w:rsidR="00062153" w:rsidRPr="00B47F53" w:rsidRDefault="00062153" w:rsidP="00062153">
      <w:pPr>
        <w:pStyle w:val="Default"/>
        <w:jc w:val="both"/>
        <w:rPr>
          <w:rFonts w:eastAsia="Times New Roman"/>
          <w:sz w:val="20"/>
          <w:szCs w:val="20"/>
          <w:lang w:eastAsia="en-ZA"/>
        </w:rPr>
      </w:pPr>
    </w:p>
    <w:p w14:paraId="69509D7C" w14:textId="77777777" w:rsidR="00F86982" w:rsidRPr="00B47F53" w:rsidRDefault="002F39EA" w:rsidP="00F8167B">
      <w:pPr>
        <w:pStyle w:val="Default"/>
        <w:spacing w:line="276" w:lineRule="auto"/>
        <w:jc w:val="both"/>
        <w:rPr>
          <w:sz w:val="20"/>
          <w:szCs w:val="20"/>
        </w:rPr>
      </w:pPr>
      <w:r w:rsidRPr="00B47F53">
        <w:rPr>
          <w:rFonts w:eastAsia="Times New Roman"/>
          <w:sz w:val="20"/>
          <w:szCs w:val="20"/>
          <w:lang w:eastAsia="en-ZA"/>
        </w:rPr>
        <w:t>First</w:t>
      </w:r>
      <w:r w:rsidR="00AD1967" w:rsidRPr="00B47F53">
        <w:rPr>
          <w:rFonts w:eastAsia="Times New Roman"/>
          <w:sz w:val="20"/>
          <w:szCs w:val="20"/>
          <w:lang w:eastAsia="en-ZA"/>
        </w:rPr>
        <w:t xml:space="preserve"> Capital Bank</w:t>
      </w:r>
      <w:r w:rsidR="00F86982" w:rsidRPr="00B47F53">
        <w:rPr>
          <w:rFonts w:eastAsia="Times New Roman"/>
          <w:sz w:val="20"/>
          <w:szCs w:val="20"/>
          <w:lang w:eastAsia="en-ZA"/>
        </w:rPr>
        <w:t xml:space="preserve">’s Pillar </w:t>
      </w:r>
      <w:r w:rsidR="00C96455" w:rsidRPr="00B47F53">
        <w:rPr>
          <w:rFonts w:eastAsia="Times New Roman"/>
          <w:sz w:val="20"/>
          <w:szCs w:val="20"/>
          <w:lang w:eastAsia="en-ZA"/>
        </w:rPr>
        <w:t>III</w:t>
      </w:r>
      <w:r w:rsidR="00F86982" w:rsidRPr="00B47F53">
        <w:rPr>
          <w:rFonts w:eastAsia="Times New Roman"/>
          <w:sz w:val="20"/>
          <w:szCs w:val="20"/>
          <w:lang w:eastAsia="en-ZA"/>
        </w:rPr>
        <w:t xml:space="preserve"> disclosure is made in accordance with the requirements of </w:t>
      </w:r>
      <w:r w:rsidR="00C72796" w:rsidRPr="00B47F53">
        <w:rPr>
          <w:rFonts w:eastAsia="Times New Roman"/>
          <w:sz w:val="20"/>
          <w:szCs w:val="20"/>
          <w:lang w:eastAsia="en-ZA"/>
        </w:rPr>
        <w:t xml:space="preserve">the </w:t>
      </w:r>
      <w:r w:rsidR="002B1E81" w:rsidRPr="00B47F53">
        <w:rPr>
          <w:sz w:val="20"/>
          <w:szCs w:val="20"/>
        </w:rPr>
        <w:t>revised capital directive, which is based on Basel II, and became effective 1</w:t>
      </w:r>
      <w:r w:rsidR="002B1E81" w:rsidRPr="00B47F53">
        <w:rPr>
          <w:sz w:val="20"/>
          <w:szCs w:val="20"/>
          <w:vertAlign w:val="superscript"/>
        </w:rPr>
        <w:t>st</w:t>
      </w:r>
      <w:r w:rsidR="002B1E81" w:rsidRPr="00B47F53">
        <w:rPr>
          <w:sz w:val="20"/>
          <w:szCs w:val="20"/>
        </w:rPr>
        <w:t xml:space="preserve"> January </w:t>
      </w:r>
      <w:r w:rsidR="00CD45D5" w:rsidRPr="00B47F53">
        <w:rPr>
          <w:sz w:val="20"/>
          <w:szCs w:val="20"/>
        </w:rPr>
        <w:t xml:space="preserve">2016, </w:t>
      </w:r>
      <w:r w:rsidR="00F86982" w:rsidRPr="00B47F53">
        <w:rPr>
          <w:rFonts w:eastAsia="Times New Roman"/>
          <w:sz w:val="20"/>
          <w:szCs w:val="20"/>
          <w:lang w:eastAsia="en-ZA"/>
        </w:rPr>
        <w:t xml:space="preserve">read together with the Basel Committee on Banking Supervision’s Revised Pillar </w:t>
      </w:r>
      <w:r w:rsidR="00C96455" w:rsidRPr="00B47F53">
        <w:rPr>
          <w:rFonts w:eastAsia="Times New Roman"/>
          <w:sz w:val="20"/>
          <w:szCs w:val="20"/>
          <w:lang w:eastAsia="en-ZA"/>
        </w:rPr>
        <w:t>III</w:t>
      </w:r>
      <w:r w:rsidR="00F86982" w:rsidRPr="00B47F53">
        <w:rPr>
          <w:rFonts w:eastAsia="Times New Roman"/>
          <w:sz w:val="20"/>
          <w:szCs w:val="20"/>
          <w:lang w:eastAsia="en-ZA"/>
        </w:rPr>
        <w:t xml:space="preserve"> disclosure requirements issued on 28 January 2015</w:t>
      </w:r>
      <w:r w:rsidR="00CD45D5" w:rsidRPr="00B47F53">
        <w:rPr>
          <w:rFonts w:eastAsia="Times New Roman"/>
          <w:sz w:val="20"/>
          <w:szCs w:val="20"/>
          <w:lang w:eastAsia="en-ZA"/>
        </w:rPr>
        <w:t>.</w:t>
      </w:r>
    </w:p>
    <w:p w14:paraId="54B681A0" w14:textId="77777777" w:rsidR="00C72796" w:rsidRPr="00B47F53" w:rsidRDefault="00C72796" w:rsidP="00F8167B">
      <w:pPr>
        <w:pStyle w:val="Pa11"/>
        <w:spacing w:line="276" w:lineRule="auto"/>
        <w:ind w:left="560" w:hanging="280"/>
        <w:jc w:val="both"/>
        <w:rPr>
          <w:rStyle w:val="A5"/>
          <w:rFonts w:ascii="Times New Roman" w:hAnsi="Times New Roman" w:cs="Times New Roman"/>
          <w:sz w:val="20"/>
          <w:szCs w:val="20"/>
        </w:rPr>
      </w:pPr>
    </w:p>
    <w:p w14:paraId="7897C052" w14:textId="589A0EC7" w:rsidR="00CC49C3" w:rsidRPr="00B47F53" w:rsidRDefault="00CC49C3" w:rsidP="00F8167B">
      <w:pPr>
        <w:pStyle w:val="Pa9"/>
        <w:spacing w:line="276" w:lineRule="auto"/>
        <w:jc w:val="both"/>
        <w:rPr>
          <w:rFonts w:ascii="Times New Roman" w:hAnsi="Times New Roman" w:cs="Times New Roman"/>
          <w:color w:val="000000"/>
          <w:sz w:val="20"/>
          <w:szCs w:val="20"/>
        </w:rPr>
      </w:pPr>
      <w:r w:rsidRPr="00B47F53">
        <w:rPr>
          <w:rStyle w:val="A5"/>
          <w:rFonts w:ascii="Times New Roman" w:hAnsi="Times New Roman" w:cs="Times New Roman"/>
          <w:sz w:val="20"/>
          <w:szCs w:val="20"/>
        </w:rPr>
        <w:t xml:space="preserve">Pillar III is </w:t>
      </w:r>
      <w:r w:rsidR="00954E3E" w:rsidRPr="00B47F53">
        <w:rPr>
          <w:rStyle w:val="A5"/>
          <w:rFonts w:ascii="Times New Roman" w:hAnsi="Times New Roman" w:cs="Times New Roman"/>
          <w:sz w:val="20"/>
          <w:szCs w:val="20"/>
        </w:rPr>
        <w:t xml:space="preserve">vital in providing information to the market about the bank’s capital; risk </w:t>
      </w:r>
      <w:r w:rsidR="002D2D79" w:rsidRPr="00B47F53">
        <w:rPr>
          <w:rStyle w:val="A5"/>
          <w:rFonts w:ascii="Times New Roman" w:hAnsi="Times New Roman" w:cs="Times New Roman"/>
          <w:sz w:val="20"/>
          <w:szCs w:val="20"/>
        </w:rPr>
        <w:t>assessment and management; and</w:t>
      </w:r>
      <w:r w:rsidR="00954E3E" w:rsidRPr="00B47F53">
        <w:rPr>
          <w:rStyle w:val="A5"/>
          <w:rFonts w:ascii="Times New Roman" w:hAnsi="Times New Roman" w:cs="Times New Roman"/>
          <w:sz w:val="20"/>
          <w:szCs w:val="20"/>
        </w:rPr>
        <w:t xml:space="preserve"> the underlying methodologies. The key objective of Pillar III is to </w:t>
      </w:r>
      <w:r w:rsidR="002D2D79" w:rsidRPr="00B47F53">
        <w:rPr>
          <w:rStyle w:val="A5"/>
          <w:rFonts w:ascii="Times New Roman" w:hAnsi="Times New Roman" w:cs="Times New Roman"/>
          <w:sz w:val="20"/>
          <w:szCs w:val="20"/>
        </w:rPr>
        <w:t xml:space="preserve">allow market discipline to operate as sharing of information facilitates </w:t>
      </w:r>
      <w:r w:rsidR="00954E3E" w:rsidRPr="00B47F53">
        <w:rPr>
          <w:rStyle w:val="A5"/>
          <w:rFonts w:ascii="Times New Roman" w:hAnsi="Times New Roman" w:cs="Times New Roman"/>
          <w:sz w:val="20"/>
          <w:szCs w:val="20"/>
        </w:rPr>
        <w:t>assessment of the bank by other parties such as inves</w:t>
      </w:r>
      <w:r w:rsidRPr="00B47F53">
        <w:rPr>
          <w:rStyle w:val="A5"/>
          <w:rFonts w:ascii="Times New Roman" w:hAnsi="Times New Roman" w:cs="Times New Roman"/>
          <w:sz w:val="20"/>
          <w:szCs w:val="20"/>
        </w:rPr>
        <w:t>to</w:t>
      </w:r>
      <w:r w:rsidR="00954E3E" w:rsidRPr="00B47F53">
        <w:rPr>
          <w:rStyle w:val="A5"/>
          <w:rFonts w:ascii="Times New Roman" w:hAnsi="Times New Roman" w:cs="Times New Roman"/>
          <w:sz w:val="20"/>
          <w:szCs w:val="20"/>
        </w:rPr>
        <w:t>rs, analysts, customers, ot</w:t>
      </w:r>
      <w:r w:rsidR="002D2D79" w:rsidRPr="00B47F53">
        <w:rPr>
          <w:rStyle w:val="A5"/>
          <w:rFonts w:ascii="Times New Roman" w:hAnsi="Times New Roman" w:cs="Times New Roman"/>
          <w:sz w:val="20"/>
          <w:szCs w:val="20"/>
        </w:rPr>
        <w:t xml:space="preserve">her banks, and ratings agencies, leading to improved transparency and corporate governance. This </w:t>
      </w:r>
      <w:r w:rsidRPr="00B47F53">
        <w:rPr>
          <w:rStyle w:val="A5"/>
          <w:rFonts w:ascii="Times New Roman" w:hAnsi="Times New Roman" w:cs="Times New Roman"/>
          <w:sz w:val="20"/>
          <w:szCs w:val="20"/>
        </w:rPr>
        <w:t xml:space="preserve">will enhance market discipline, efficiency and confidence. </w:t>
      </w:r>
    </w:p>
    <w:p w14:paraId="70BA0AE3" w14:textId="77777777" w:rsidR="00A95B1D" w:rsidRPr="00B47F53" w:rsidRDefault="00A95B1D" w:rsidP="00F8167B">
      <w:pPr>
        <w:jc w:val="both"/>
        <w:rPr>
          <w:rStyle w:val="A5"/>
          <w:rFonts w:ascii="Times New Roman" w:hAnsi="Times New Roman" w:cs="Times New Roman"/>
          <w:sz w:val="20"/>
          <w:szCs w:val="20"/>
        </w:rPr>
      </w:pPr>
    </w:p>
    <w:p w14:paraId="2C40A578" w14:textId="77777777" w:rsidR="00A95B1D" w:rsidRPr="00B47F53" w:rsidRDefault="00A95B1D" w:rsidP="00F8167B">
      <w:pPr>
        <w:jc w:val="both"/>
        <w:rPr>
          <w:rStyle w:val="A5"/>
          <w:rFonts w:ascii="Times New Roman" w:hAnsi="Times New Roman" w:cs="Times New Roman"/>
          <w:sz w:val="20"/>
          <w:szCs w:val="20"/>
        </w:rPr>
      </w:pPr>
    </w:p>
    <w:p w14:paraId="4718C1F0" w14:textId="77777777" w:rsidR="00A95B1D" w:rsidRPr="00B47F53" w:rsidRDefault="00A95B1D" w:rsidP="00F8167B">
      <w:pPr>
        <w:jc w:val="both"/>
        <w:rPr>
          <w:rStyle w:val="A5"/>
          <w:rFonts w:ascii="Times New Roman" w:hAnsi="Times New Roman" w:cs="Times New Roman"/>
          <w:sz w:val="20"/>
          <w:szCs w:val="20"/>
        </w:rPr>
      </w:pPr>
    </w:p>
    <w:p w14:paraId="1BD4E9C2" w14:textId="77777777" w:rsidR="00A95B1D" w:rsidRPr="00B47F53" w:rsidRDefault="00A95B1D" w:rsidP="00F8167B">
      <w:pPr>
        <w:jc w:val="both"/>
        <w:rPr>
          <w:rStyle w:val="A5"/>
          <w:rFonts w:ascii="Times New Roman" w:hAnsi="Times New Roman" w:cs="Times New Roman"/>
          <w:sz w:val="20"/>
          <w:szCs w:val="20"/>
        </w:rPr>
      </w:pPr>
    </w:p>
    <w:p w14:paraId="52187B96" w14:textId="77777777" w:rsidR="00A95B1D" w:rsidRPr="00B47F53" w:rsidRDefault="00A95B1D" w:rsidP="00F8167B">
      <w:pPr>
        <w:jc w:val="both"/>
        <w:rPr>
          <w:rStyle w:val="A5"/>
          <w:rFonts w:ascii="Times New Roman" w:hAnsi="Times New Roman" w:cs="Times New Roman"/>
          <w:sz w:val="20"/>
          <w:szCs w:val="20"/>
        </w:rPr>
      </w:pPr>
    </w:p>
    <w:p w14:paraId="104A079B" w14:textId="77777777" w:rsidR="00A95B1D" w:rsidRPr="00B47F53" w:rsidRDefault="00A95B1D" w:rsidP="00F8167B">
      <w:pPr>
        <w:jc w:val="both"/>
        <w:rPr>
          <w:rStyle w:val="A5"/>
          <w:rFonts w:ascii="Times New Roman" w:hAnsi="Times New Roman" w:cs="Times New Roman"/>
          <w:sz w:val="20"/>
          <w:szCs w:val="20"/>
        </w:rPr>
      </w:pPr>
    </w:p>
    <w:p w14:paraId="03127E2F" w14:textId="77777777" w:rsidR="00A95B1D" w:rsidRPr="00B47F53" w:rsidRDefault="00A95B1D" w:rsidP="00F8167B">
      <w:pPr>
        <w:jc w:val="both"/>
        <w:rPr>
          <w:rStyle w:val="A5"/>
          <w:rFonts w:ascii="Times New Roman" w:hAnsi="Times New Roman" w:cs="Times New Roman"/>
          <w:sz w:val="20"/>
          <w:szCs w:val="20"/>
        </w:rPr>
      </w:pPr>
    </w:p>
    <w:p w14:paraId="777F7F60" w14:textId="77777777" w:rsidR="00A95B1D" w:rsidRPr="00B47F53" w:rsidRDefault="00A95B1D" w:rsidP="00F8167B">
      <w:pPr>
        <w:jc w:val="both"/>
        <w:rPr>
          <w:rStyle w:val="A5"/>
          <w:rFonts w:ascii="Times New Roman" w:hAnsi="Times New Roman" w:cs="Times New Roman"/>
          <w:sz w:val="20"/>
          <w:szCs w:val="20"/>
        </w:rPr>
      </w:pPr>
    </w:p>
    <w:p w14:paraId="71468FD1" w14:textId="77777777" w:rsidR="00A95B1D" w:rsidRPr="00B47F53" w:rsidRDefault="00A95B1D" w:rsidP="00F8167B">
      <w:pPr>
        <w:jc w:val="both"/>
        <w:rPr>
          <w:rStyle w:val="A5"/>
          <w:rFonts w:ascii="Times New Roman" w:hAnsi="Times New Roman" w:cs="Times New Roman"/>
          <w:sz w:val="20"/>
          <w:szCs w:val="20"/>
        </w:rPr>
      </w:pPr>
    </w:p>
    <w:p w14:paraId="3B084521" w14:textId="77777777" w:rsidR="00062153" w:rsidRPr="00B47F53" w:rsidRDefault="00062153" w:rsidP="00F8167B">
      <w:pPr>
        <w:jc w:val="both"/>
        <w:rPr>
          <w:rStyle w:val="A5"/>
          <w:rFonts w:ascii="Times New Roman" w:hAnsi="Times New Roman" w:cs="Times New Roman"/>
          <w:sz w:val="20"/>
          <w:szCs w:val="20"/>
        </w:rPr>
      </w:pPr>
    </w:p>
    <w:p w14:paraId="4750D4BC" w14:textId="77777777" w:rsidR="00062153" w:rsidRPr="00B47F53" w:rsidRDefault="00062153" w:rsidP="00F8167B">
      <w:pPr>
        <w:jc w:val="both"/>
        <w:rPr>
          <w:rStyle w:val="A5"/>
          <w:rFonts w:ascii="Times New Roman" w:hAnsi="Times New Roman" w:cs="Times New Roman"/>
          <w:sz w:val="20"/>
          <w:szCs w:val="20"/>
        </w:rPr>
      </w:pPr>
    </w:p>
    <w:p w14:paraId="02FE10A9" w14:textId="77777777" w:rsidR="00062153" w:rsidRPr="00B47F53" w:rsidRDefault="00062153" w:rsidP="00F8167B">
      <w:pPr>
        <w:jc w:val="both"/>
        <w:rPr>
          <w:rStyle w:val="A5"/>
          <w:rFonts w:ascii="Times New Roman" w:hAnsi="Times New Roman" w:cs="Times New Roman"/>
          <w:sz w:val="20"/>
          <w:szCs w:val="20"/>
        </w:rPr>
      </w:pPr>
    </w:p>
    <w:p w14:paraId="67D1C722" w14:textId="77777777" w:rsidR="00062153" w:rsidRPr="00B47F53" w:rsidRDefault="00062153" w:rsidP="00F8167B">
      <w:pPr>
        <w:jc w:val="both"/>
        <w:rPr>
          <w:rStyle w:val="A5"/>
          <w:rFonts w:ascii="Times New Roman" w:hAnsi="Times New Roman" w:cs="Times New Roman"/>
          <w:sz w:val="20"/>
          <w:szCs w:val="20"/>
        </w:rPr>
      </w:pPr>
    </w:p>
    <w:p w14:paraId="75D155D7" w14:textId="77777777" w:rsidR="00A95B1D" w:rsidRPr="00B47F53" w:rsidRDefault="00A95B1D" w:rsidP="00F8167B">
      <w:pPr>
        <w:jc w:val="both"/>
        <w:rPr>
          <w:rStyle w:val="A5"/>
          <w:rFonts w:ascii="Times New Roman" w:hAnsi="Times New Roman" w:cs="Times New Roman"/>
          <w:sz w:val="20"/>
          <w:szCs w:val="20"/>
        </w:rPr>
      </w:pPr>
    </w:p>
    <w:p w14:paraId="7AD71EED" w14:textId="77777777" w:rsidR="00F37793" w:rsidRPr="00B47F53" w:rsidRDefault="00F37793" w:rsidP="00F8167B">
      <w:pPr>
        <w:jc w:val="both"/>
        <w:rPr>
          <w:rStyle w:val="A5"/>
          <w:rFonts w:ascii="Times New Roman" w:hAnsi="Times New Roman" w:cs="Times New Roman"/>
          <w:sz w:val="20"/>
          <w:szCs w:val="20"/>
        </w:rPr>
      </w:pPr>
    </w:p>
    <w:p w14:paraId="29CA53D3" w14:textId="77777777" w:rsidR="00F37793" w:rsidRPr="00B47F53" w:rsidRDefault="00F37793" w:rsidP="00F8167B">
      <w:pPr>
        <w:jc w:val="both"/>
        <w:rPr>
          <w:rStyle w:val="A5"/>
          <w:rFonts w:ascii="Times New Roman" w:hAnsi="Times New Roman" w:cs="Times New Roman"/>
          <w:sz w:val="20"/>
          <w:szCs w:val="20"/>
        </w:rPr>
      </w:pPr>
    </w:p>
    <w:p w14:paraId="51FE8484" w14:textId="77777777" w:rsidR="00F37793" w:rsidRPr="00B47F53" w:rsidRDefault="00F37793" w:rsidP="00F8167B">
      <w:pPr>
        <w:jc w:val="both"/>
        <w:rPr>
          <w:rStyle w:val="A5"/>
          <w:rFonts w:ascii="Times New Roman" w:hAnsi="Times New Roman" w:cs="Times New Roman"/>
          <w:sz w:val="20"/>
          <w:szCs w:val="20"/>
        </w:rPr>
      </w:pPr>
    </w:p>
    <w:p w14:paraId="2C2EA501" w14:textId="77777777" w:rsidR="00EF6AA3" w:rsidRPr="00B47F53" w:rsidRDefault="00EF6AA3" w:rsidP="00F8167B">
      <w:pPr>
        <w:jc w:val="both"/>
        <w:rPr>
          <w:rStyle w:val="A5"/>
          <w:rFonts w:ascii="Times New Roman" w:hAnsi="Times New Roman" w:cs="Times New Roman"/>
          <w:sz w:val="20"/>
          <w:szCs w:val="20"/>
        </w:rPr>
      </w:pPr>
    </w:p>
    <w:p w14:paraId="147CE42B" w14:textId="77777777" w:rsidR="00EF6AA3" w:rsidRPr="00B47F53" w:rsidRDefault="00EF6AA3" w:rsidP="00F8167B">
      <w:pPr>
        <w:jc w:val="both"/>
        <w:rPr>
          <w:rStyle w:val="A5"/>
          <w:rFonts w:ascii="Times New Roman" w:hAnsi="Times New Roman" w:cs="Times New Roman"/>
          <w:sz w:val="20"/>
          <w:szCs w:val="20"/>
        </w:rPr>
      </w:pPr>
    </w:p>
    <w:p w14:paraId="164A0011" w14:textId="77777777" w:rsidR="005316B8" w:rsidRPr="00B47F53" w:rsidRDefault="005316B8" w:rsidP="00F8167B">
      <w:pPr>
        <w:jc w:val="both"/>
        <w:rPr>
          <w:rStyle w:val="A5"/>
          <w:rFonts w:ascii="Times New Roman" w:hAnsi="Times New Roman" w:cs="Times New Roman"/>
          <w:sz w:val="20"/>
          <w:szCs w:val="20"/>
        </w:rPr>
      </w:pPr>
    </w:p>
    <w:p w14:paraId="2FF159BA" w14:textId="77777777" w:rsidR="005316B8" w:rsidRPr="00B47F53" w:rsidRDefault="005316B8" w:rsidP="00F8167B">
      <w:pPr>
        <w:jc w:val="both"/>
        <w:rPr>
          <w:rStyle w:val="A5"/>
          <w:rFonts w:ascii="Times New Roman" w:hAnsi="Times New Roman" w:cs="Times New Roman"/>
          <w:sz w:val="20"/>
          <w:szCs w:val="20"/>
        </w:rPr>
      </w:pPr>
    </w:p>
    <w:p w14:paraId="590C0E55" w14:textId="77777777" w:rsidR="00835D04" w:rsidRPr="00B47F53" w:rsidRDefault="00835D04" w:rsidP="00F8167B">
      <w:pPr>
        <w:jc w:val="both"/>
        <w:rPr>
          <w:rStyle w:val="A5"/>
          <w:rFonts w:ascii="Times New Roman" w:hAnsi="Times New Roman" w:cs="Times New Roman"/>
          <w:sz w:val="20"/>
          <w:szCs w:val="20"/>
        </w:rPr>
      </w:pPr>
    </w:p>
    <w:p w14:paraId="3E8EC3F2" w14:textId="77777777" w:rsidR="00F37793" w:rsidRPr="00B47F53" w:rsidRDefault="00CC49C3" w:rsidP="00A26251">
      <w:pPr>
        <w:pStyle w:val="Heading1"/>
        <w:numPr>
          <w:ilvl w:val="0"/>
          <w:numId w:val="1"/>
        </w:numPr>
        <w:ind w:left="-426" w:firstLine="426"/>
        <w:rPr>
          <w:rFonts w:ascii="Times New Roman" w:hAnsi="Times New Roman" w:cs="Times New Roman"/>
          <w:color w:val="auto"/>
          <w:sz w:val="20"/>
          <w:szCs w:val="20"/>
        </w:rPr>
      </w:pPr>
      <w:bookmarkStart w:id="1" w:name="_Toc100839089"/>
      <w:r w:rsidRPr="00B47F53">
        <w:rPr>
          <w:rStyle w:val="A5"/>
          <w:rFonts w:ascii="Times New Roman" w:hAnsi="Times New Roman" w:cs="Times New Roman"/>
          <w:color w:val="auto"/>
          <w:sz w:val="20"/>
          <w:szCs w:val="20"/>
        </w:rPr>
        <w:lastRenderedPageBreak/>
        <w:t>R</w:t>
      </w:r>
      <w:r w:rsidR="00F9790B" w:rsidRPr="00B47F53">
        <w:rPr>
          <w:rStyle w:val="A5"/>
          <w:rFonts w:ascii="Times New Roman" w:hAnsi="Times New Roman" w:cs="Times New Roman"/>
          <w:color w:val="auto"/>
          <w:sz w:val="20"/>
          <w:szCs w:val="20"/>
        </w:rPr>
        <w:t>egulatory</w:t>
      </w:r>
      <w:r w:rsidRPr="00B47F53">
        <w:rPr>
          <w:rStyle w:val="A5"/>
          <w:rFonts w:ascii="Times New Roman" w:hAnsi="Times New Roman" w:cs="Times New Roman"/>
          <w:color w:val="auto"/>
          <w:sz w:val="20"/>
          <w:szCs w:val="20"/>
        </w:rPr>
        <w:t xml:space="preserve"> C</w:t>
      </w:r>
      <w:r w:rsidR="00F9790B" w:rsidRPr="00B47F53">
        <w:rPr>
          <w:rStyle w:val="A5"/>
          <w:rFonts w:ascii="Times New Roman" w:hAnsi="Times New Roman" w:cs="Times New Roman"/>
          <w:color w:val="auto"/>
          <w:sz w:val="20"/>
          <w:szCs w:val="20"/>
        </w:rPr>
        <w:t xml:space="preserve">apital </w:t>
      </w:r>
      <w:r w:rsidRPr="00B47F53">
        <w:rPr>
          <w:rStyle w:val="A5"/>
          <w:rFonts w:ascii="Times New Roman" w:hAnsi="Times New Roman" w:cs="Times New Roman"/>
          <w:color w:val="auto"/>
          <w:sz w:val="20"/>
          <w:szCs w:val="20"/>
        </w:rPr>
        <w:t>R</w:t>
      </w:r>
      <w:r w:rsidR="00F9790B" w:rsidRPr="00B47F53">
        <w:rPr>
          <w:rStyle w:val="A5"/>
          <w:rFonts w:ascii="Times New Roman" w:hAnsi="Times New Roman" w:cs="Times New Roman"/>
          <w:color w:val="auto"/>
          <w:sz w:val="20"/>
          <w:szCs w:val="20"/>
        </w:rPr>
        <w:t>equirements</w:t>
      </w:r>
      <w:bookmarkEnd w:id="1"/>
    </w:p>
    <w:p w14:paraId="05FFF86E" w14:textId="77777777" w:rsidR="00062153" w:rsidRPr="00B47F53" w:rsidRDefault="00F37793" w:rsidP="00F8167B">
      <w:pPr>
        <w:pStyle w:val="Heading2"/>
        <w:rPr>
          <w:rStyle w:val="A5"/>
          <w:rFonts w:ascii="Times New Roman" w:hAnsi="Times New Roman" w:cs="Times New Roman"/>
          <w:color w:val="auto"/>
          <w:sz w:val="20"/>
          <w:szCs w:val="20"/>
        </w:rPr>
      </w:pPr>
      <w:bookmarkStart w:id="2" w:name="_Toc100839090"/>
      <w:r w:rsidRPr="00B47F53">
        <w:rPr>
          <w:rStyle w:val="A5"/>
          <w:rFonts w:ascii="Times New Roman" w:hAnsi="Times New Roman" w:cs="Times New Roman"/>
          <w:color w:val="auto"/>
          <w:sz w:val="20"/>
          <w:szCs w:val="20"/>
        </w:rPr>
        <w:t>2.1</w:t>
      </w:r>
      <w:r w:rsidR="00943ECF" w:rsidRPr="00B47F53">
        <w:rPr>
          <w:rStyle w:val="A5"/>
          <w:rFonts w:ascii="Times New Roman" w:hAnsi="Times New Roman" w:cs="Times New Roman"/>
          <w:color w:val="auto"/>
          <w:sz w:val="20"/>
          <w:szCs w:val="20"/>
        </w:rPr>
        <w:t xml:space="preserve">       </w:t>
      </w:r>
      <w:r w:rsidRPr="00B47F53">
        <w:rPr>
          <w:rStyle w:val="A5"/>
          <w:rFonts w:ascii="Times New Roman" w:hAnsi="Times New Roman" w:cs="Times New Roman"/>
          <w:color w:val="auto"/>
          <w:sz w:val="20"/>
          <w:szCs w:val="20"/>
        </w:rPr>
        <w:t xml:space="preserve"> Capital</w:t>
      </w:r>
      <w:r w:rsidR="00CC49C3" w:rsidRPr="00B47F53">
        <w:rPr>
          <w:rStyle w:val="A5"/>
          <w:rFonts w:ascii="Times New Roman" w:hAnsi="Times New Roman" w:cs="Times New Roman"/>
          <w:color w:val="auto"/>
          <w:sz w:val="20"/>
          <w:szCs w:val="20"/>
        </w:rPr>
        <w:t xml:space="preserve"> Structure</w:t>
      </w:r>
      <w:bookmarkEnd w:id="2"/>
      <w:r w:rsidR="002B1E81" w:rsidRPr="00B47F53">
        <w:rPr>
          <w:rStyle w:val="A5"/>
          <w:rFonts w:ascii="Times New Roman" w:hAnsi="Times New Roman" w:cs="Times New Roman"/>
          <w:color w:val="auto"/>
          <w:sz w:val="20"/>
          <w:szCs w:val="20"/>
        </w:rPr>
        <w:t xml:space="preserve"> </w:t>
      </w:r>
    </w:p>
    <w:p w14:paraId="47EA3B73" w14:textId="77777777" w:rsidR="002B1E81" w:rsidRPr="00B47F53" w:rsidRDefault="002B1E81" w:rsidP="00FC233A">
      <w:pPr>
        <w:spacing w:after="0"/>
        <w:rPr>
          <w:rFonts w:ascii="Times New Roman" w:hAnsi="Times New Roman" w:cs="Times New Roman"/>
          <w:sz w:val="20"/>
          <w:szCs w:val="20"/>
        </w:rPr>
      </w:pPr>
    </w:p>
    <w:p w14:paraId="7FF77A0C" w14:textId="188BC730" w:rsidR="007C7CA9" w:rsidRPr="00186289" w:rsidRDefault="007C7CA9" w:rsidP="00F8167B">
      <w:pPr>
        <w:jc w:val="both"/>
        <w:rPr>
          <w:rFonts w:ascii="Times New Roman" w:hAnsi="Times New Roman" w:cs="Times New Roman"/>
          <w:sz w:val="20"/>
          <w:szCs w:val="20"/>
        </w:rPr>
      </w:pPr>
      <w:r w:rsidRPr="00B47F53">
        <w:rPr>
          <w:rFonts w:ascii="Times New Roman" w:hAnsi="Times New Roman" w:cs="Times New Roman"/>
          <w:sz w:val="20"/>
          <w:szCs w:val="20"/>
        </w:rPr>
        <w:t>Bank of Botswana sets and monitors the capital requirements for the Bank. The revised capital directive, which is based on Basel II, became effective 1</w:t>
      </w:r>
      <w:r w:rsidRPr="00B47F53">
        <w:rPr>
          <w:rFonts w:ascii="Times New Roman" w:hAnsi="Times New Roman" w:cs="Times New Roman"/>
          <w:sz w:val="20"/>
          <w:szCs w:val="20"/>
          <w:vertAlign w:val="superscript"/>
        </w:rPr>
        <w:t>st</w:t>
      </w:r>
      <w:r w:rsidRPr="00B47F53">
        <w:rPr>
          <w:rFonts w:ascii="Times New Roman" w:hAnsi="Times New Roman" w:cs="Times New Roman"/>
          <w:sz w:val="20"/>
          <w:szCs w:val="20"/>
        </w:rPr>
        <w:t xml:space="preserve"> January 2016. It requires the </w:t>
      </w:r>
      <w:r w:rsidR="00211001" w:rsidRPr="00B47F53">
        <w:rPr>
          <w:rFonts w:ascii="Times New Roman" w:hAnsi="Times New Roman" w:cs="Times New Roman"/>
          <w:sz w:val="20"/>
          <w:szCs w:val="20"/>
        </w:rPr>
        <w:t xml:space="preserve">Bank to </w:t>
      </w:r>
      <w:r w:rsidR="007E1603">
        <w:rPr>
          <w:rFonts w:ascii="Times New Roman" w:hAnsi="Times New Roman" w:cs="Times New Roman"/>
          <w:sz w:val="20"/>
          <w:szCs w:val="20"/>
        </w:rPr>
        <w:t xml:space="preserve">temporarily </w:t>
      </w:r>
      <w:r w:rsidR="00211001" w:rsidRPr="00B47F53">
        <w:rPr>
          <w:rFonts w:ascii="Times New Roman" w:hAnsi="Times New Roman" w:cs="Times New Roman"/>
          <w:sz w:val="20"/>
          <w:szCs w:val="20"/>
        </w:rPr>
        <w:t>maintain a minimum of 12.5</w:t>
      </w:r>
      <w:r w:rsidRPr="00B47F53">
        <w:rPr>
          <w:rFonts w:ascii="Times New Roman" w:hAnsi="Times New Roman" w:cs="Times New Roman"/>
          <w:sz w:val="20"/>
          <w:szCs w:val="20"/>
        </w:rPr>
        <w:t xml:space="preserve"> percent of risk weighted assets covering operational, market and credit risks</w:t>
      </w:r>
      <w:r w:rsidR="009D519C" w:rsidRPr="00B47F53">
        <w:rPr>
          <w:rFonts w:ascii="Times New Roman" w:hAnsi="Times New Roman" w:cs="Times New Roman"/>
          <w:sz w:val="20"/>
          <w:szCs w:val="20"/>
        </w:rPr>
        <w:t xml:space="preserve"> </w:t>
      </w:r>
      <w:r w:rsidR="007E1603" w:rsidRPr="00186289">
        <w:rPr>
          <w:rFonts w:ascii="Times New Roman" w:hAnsi="Times New Roman" w:cs="Times New Roman"/>
          <w:sz w:val="20"/>
          <w:szCs w:val="20"/>
        </w:rPr>
        <w:t>as of 01 April 2020 in response to the impact of the COVID 19 pandemic</w:t>
      </w:r>
      <w:r w:rsidRPr="00186289">
        <w:rPr>
          <w:rFonts w:ascii="Times New Roman" w:hAnsi="Times New Roman" w:cs="Times New Roman"/>
          <w:sz w:val="20"/>
          <w:szCs w:val="20"/>
        </w:rPr>
        <w:t xml:space="preserve">. The Bank’s regulatory capital is analysed into two </w:t>
      </w:r>
      <w:r w:rsidR="00F3365A" w:rsidRPr="00186289">
        <w:rPr>
          <w:rFonts w:ascii="Times New Roman" w:hAnsi="Times New Roman" w:cs="Times New Roman"/>
          <w:sz w:val="20"/>
          <w:szCs w:val="20"/>
        </w:rPr>
        <w:t>parts: -</w:t>
      </w:r>
    </w:p>
    <w:p w14:paraId="5412254E" w14:textId="77777777" w:rsidR="007C7CA9" w:rsidRPr="00B47F53" w:rsidRDefault="007C7CA9" w:rsidP="00A26251">
      <w:pPr>
        <w:numPr>
          <w:ilvl w:val="0"/>
          <w:numId w:val="4"/>
        </w:numPr>
        <w:tabs>
          <w:tab w:val="clear" w:pos="360"/>
          <w:tab w:val="left" w:pos="900"/>
        </w:tabs>
        <w:ind w:left="900"/>
        <w:jc w:val="both"/>
        <w:rPr>
          <w:rFonts w:ascii="Times New Roman" w:hAnsi="Times New Roman" w:cs="Times New Roman"/>
          <w:sz w:val="20"/>
          <w:szCs w:val="20"/>
        </w:rPr>
      </w:pPr>
      <w:r w:rsidRPr="00B47F53">
        <w:rPr>
          <w:rFonts w:ascii="Times New Roman" w:hAnsi="Times New Roman" w:cs="Times New Roman"/>
          <w:sz w:val="20"/>
          <w:szCs w:val="20"/>
        </w:rPr>
        <w:t>Tier I capital, which includes paid-up stated capital, retained earnings and other reserves less goodwill or any intangible asset.</w:t>
      </w:r>
    </w:p>
    <w:p w14:paraId="572E006B" w14:textId="5456E6D0" w:rsidR="007C7CA9" w:rsidRPr="00B47F53" w:rsidRDefault="007C7CA9" w:rsidP="00A26251">
      <w:pPr>
        <w:numPr>
          <w:ilvl w:val="0"/>
          <w:numId w:val="4"/>
        </w:numPr>
        <w:tabs>
          <w:tab w:val="clear" w:pos="360"/>
          <w:tab w:val="left" w:pos="900"/>
        </w:tabs>
        <w:ind w:left="900"/>
        <w:jc w:val="both"/>
        <w:rPr>
          <w:rFonts w:ascii="Times New Roman" w:hAnsi="Times New Roman" w:cs="Times New Roman"/>
          <w:sz w:val="20"/>
          <w:szCs w:val="20"/>
        </w:rPr>
      </w:pPr>
      <w:r w:rsidRPr="00B47F53">
        <w:rPr>
          <w:rFonts w:ascii="Times New Roman" w:hAnsi="Times New Roman" w:cs="Times New Roman"/>
          <w:sz w:val="20"/>
          <w:szCs w:val="20"/>
        </w:rPr>
        <w:t xml:space="preserve">Tier II capital, which includes </w:t>
      </w:r>
      <w:r w:rsidR="00353691">
        <w:rPr>
          <w:rFonts w:ascii="Times New Roman" w:hAnsi="Times New Roman" w:cs="Times New Roman"/>
          <w:sz w:val="20"/>
          <w:szCs w:val="20"/>
        </w:rPr>
        <w:t>unpublished current year profit</w:t>
      </w:r>
      <w:r w:rsidRPr="00B47F53">
        <w:rPr>
          <w:rFonts w:ascii="Times New Roman" w:hAnsi="Times New Roman" w:cs="Times New Roman"/>
          <w:sz w:val="20"/>
          <w:szCs w:val="20"/>
        </w:rPr>
        <w:t>, general provisions</w:t>
      </w:r>
      <w:r w:rsidR="00353691">
        <w:rPr>
          <w:rFonts w:ascii="Times New Roman" w:hAnsi="Times New Roman" w:cs="Times New Roman"/>
          <w:sz w:val="20"/>
          <w:szCs w:val="20"/>
        </w:rPr>
        <w:t xml:space="preserve">, </w:t>
      </w:r>
      <w:r w:rsidRPr="00B47F53">
        <w:rPr>
          <w:rFonts w:ascii="Times New Roman" w:hAnsi="Times New Roman" w:cs="Times New Roman"/>
          <w:sz w:val="20"/>
          <w:szCs w:val="20"/>
        </w:rPr>
        <w:t>subordinated debt</w:t>
      </w:r>
      <w:r w:rsidR="00353691">
        <w:rPr>
          <w:rFonts w:ascii="Times New Roman" w:hAnsi="Times New Roman" w:cs="Times New Roman"/>
          <w:sz w:val="20"/>
          <w:szCs w:val="20"/>
        </w:rPr>
        <w:t xml:space="preserve"> and preference share capital</w:t>
      </w:r>
      <w:r w:rsidRPr="00B47F53">
        <w:rPr>
          <w:rFonts w:ascii="Times New Roman" w:hAnsi="Times New Roman" w:cs="Times New Roman"/>
          <w:sz w:val="20"/>
          <w:szCs w:val="20"/>
        </w:rPr>
        <w:t>.</w:t>
      </w:r>
    </w:p>
    <w:p w14:paraId="1AD2F5F8" w14:textId="35F86EAE" w:rsidR="00A95B1D" w:rsidRDefault="00B92386" w:rsidP="00F8167B">
      <w:pPr>
        <w:pStyle w:val="Pa9"/>
        <w:spacing w:line="276" w:lineRule="auto"/>
        <w:ind w:left="280" w:hanging="280"/>
        <w:jc w:val="both"/>
        <w:rPr>
          <w:rStyle w:val="A5"/>
          <w:rFonts w:ascii="Times New Roman" w:hAnsi="Times New Roman" w:cs="Times New Roman"/>
          <w:i/>
          <w:sz w:val="20"/>
          <w:szCs w:val="20"/>
        </w:rPr>
      </w:pPr>
      <w:r w:rsidRPr="00B47F53">
        <w:rPr>
          <w:rStyle w:val="A5"/>
          <w:rFonts w:ascii="Times New Roman" w:hAnsi="Times New Roman" w:cs="Times New Roman"/>
          <w:i/>
          <w:sz w:val="20"/>
          <w:szCs w:val="20"/>
        </w:rPr>
        <w:t xml:space="preserve"> </w:t>
      </w:r>
      <w:r w:rsidR="00AD1967" w:rsidRPr="00B47F53">
        <w:rPr>
          <w:rStyle w:val="A5"/>
          <w:rFonts w:ascii="Times New Roman" w:hAnsi="Times New Roman" w:cs="Times New Roman"/>
          <w:i/>
          <w:sz w:val="20"/>
          <w:szCs w:val="20"/>
        </w:rPr>
        <w:t>First Capital Bank</w:t>
      </w:r>
      <w:r w:rsidR="004C7F4C" w:rsidRPr="00B47F53">
        <w:rPr>
          <w:rStyle w:val="A5"/>
          <w:rFonts w:ascii="Times New Roman" w:hAnsi="Times New Roman" w:cs="Times New Roman"/>
          <w:i/>
          <w:sz w:val="20"/>
          <w:szCs w:val="20"/>
        </w:rPr>
        <w:t xml:space="preserve"> </w:t>
      </w:r>
      <w:r w:rsidR="00CC49C3" w:rsidRPr="00B47F53">
        <w:rPr>
          <w:rStyle w:val="A5"/>
          <w:rFonts w:ascii="Times New Roman" w:hAnsi="Times New Roman" w:cs="Times New Roman"/>
          <w:i/>
          <w:sz w:val="20"/>
          <w:szCs w:val="20"/>
        </w:rPr>
        <w:t>R</w:t>
      </w:r>
      <w:r w:rsidR="00184A00" w:rsidRPr="00B47F53">
        <w:rPr>
          <w:rStyle w:val="A5"/>
          <w:rFonts w:ascii="Times New Roman" w:hAnsi="Times New Roman" w:cs="Times New Roman"/>
          <w:i/>
          <w:sz w:val="20"/>
          <w:szCs w:val="20"/>
        </w:rPr>
        <w:t>egulatory</w:t>
      </w:r>
      <w:r w:rsidR="00CC49C3" w:rsidRPr="00B47F53">
        <w:rPr>
          <w:rStyle w:val="A5"/>
          <w:rFonts w:ascii="Times New Roman" w:hAnsi="Times New Roman" w:cs="Times New Roman"/>
          <w:i/>
          <w:sz w:val="20"/>
          <w:szCs w:val="20"/>
        </w:rPr>
        <w:t xml:space="preserve"> C</w:t>
      </w:r>
      <w:r w:rsidR="00184A00" w:rsidRPr="00B47F53">
        <w:rPr>
          <w:rStyle w:val="A5"/>
          <w:rFonts w:ascii="Times New Roman" w:hAnsi="Times New Roman" w:cs="Times New Roman"/>
          <w:i/>
          <w:sz w:val="20"/>
          <w:szCs w:val="20"/>
        </w:rPr>
        <w:t>apital</w:t>
      </w:r>
      <w:r w:rsidR="00CC49C3" w:rsidRPr="00B47F53">
        <w:rPr>
          <w:rStyle w:val="A5"/>
          <w:rFonts w:ascii="Times New Roman" w:hAnsi="Times New Roman" w:cs="Times New Roman"/>
          <w:i/>
          <w:sz w:val="20"/>
          <w:szCs w:val="20"/>
        </w:rPr>
        <w:t xml:space="preserve"> </w:t>
      </w:r>
      <w:r w:rsidR="00184A00" w:rsidRPr="00B47F53">
        <w:rPr>
          <w:rStyle w:val="A5"/>
          <w:rFonts w:ascii="Times New Roman" w:hAnsi="Times New Roman" w:cs="Times New Roman"/>
          <w:i/>
          <w:sz w:val="20"/>
          <w:szCs w:val="20"/>
        </w:rPr>
        <w:t>Structure for the</w:t>
      </w:r>
      <w:r w:rsidR="00CC49C3" w:rsidRPr="00B47F53">
        <w:rPr>
          <w:rStyle w:val="A5"/>
          <w:rFonts w:ascii="Times New Roman" w:hAnsi="Times New Roman" w:cs="Times New Roman"/>
          <w:i/>
          <w:sz w:val="20"/>
          <w:szCs w:val="20"/>
        </w:rPr>
        <w:t xml:space="preserve"> </w:t>
      </w:r>
      <w:r w:rsidR="00184A00" w:rsidRPr="00B47F53">
        <w:rPr>
          <w:rStyle w:val="A5"/>
          <w:rFonts w:ascii="Times New Roman" w:hAnsi="Times New Roman" w:cs="Times New Roman"/>
          <w:i/>
          <w:sz w:val="20"/>
          <w:szCs w:val="20"/>
        </w:rPr>
        <w:t xml:space="preserve">quarter ended </w:t>
      </w:r>
      <w:r w:rsidR="007D5665">
        <w:rPr>
          <w:rStyle w:val="A5"/>
          <w:rFonts w:ascii="Times New Roman" w:hAnsi="Times New Roman" w:cs="Times New Roman"/>
          <w:i/>
          <w:sz w:val="20"/>
          <w:szCs w:val="20"/>
        </w:rPr>
        <w:t>3</w:t>
      </w:r>
      <w:r w:rsidR="00BB3C14">
        <w:rPr>
          <w:rStyle w:val="A5"/>
          <w:rFonts w:ascii="Times New Roman" w:hAnsi="Times New Roman" w:cs="Times New Roman"/>
          <w:i/>
          <w:sz w:val="20"/>
          <w:szCs w:val="20"/>
        </w:rPr>
        <w:t>1</w:t>
      </w:r>
      <w:r w:rsidR="00D074CA">
        <w:rPr>
          <w:rStyle w:val="A5"/>
          <w:rFonts w:ascii="Times New Roman" w:hAnsi="Times New Roman" w:cs="Times New Roman"/>
          <w:i/>
          <w:sz w:val="20"/>
          <w:szCs w:val="20"/>
        </w:rPr>
        <w:t xml:space="preserve"> </w:t>
      </w:r>
      <w:r w:rsidR="00BB3C14">
        <w:rPr>
          <w:rStyle w:val="A5"/>
          <w:rFonts w:ascii="Times New Roman" w:hAnsi="Times New Roman" w:cs="Times New Roman"/>
          <w:i/>
          <w:sz w:val="20"/>
          <w:szCs w:val="20"/>
        </w:rPr>
        <w:t>March</w:t>
      </w:r>
      <w:r w:rsidR="007D5665">
        <w:rPr>
          <w:rStyle w:val="A5"/>
          <w:rFonts w:ascii="Times New Roman" w:hAnsi="Times New Roman" w:cs="Times New Roman"/>
          <w:i/>
          <w:sz w:val="20"/>
          <w:szCs w:val="20"/>
        </w:rPr>
        <w:t xml:space="preserve"> 202</w:t>
      </w:r>
      <w:r w:rsidR="00BB3C14">
        <w:rPr>
          <w:rStyle w:val="A5"/>
          <w:rFonts w:ascii="Times New Roman" w:hAnsi="Times New Roman" w:cs="Times New Roman"/>
          <w:i/>
          <w:sz w:val="20"/>
          <w:szCs w:val="20"/>
        </w:rPr>
        <w:t>2</w:t>
      </w:r>
      <w:r w:rsidR="00CC49C3" w:rsidRPr="00B47F53">
        <w:rPr>
          <w:rStyle w:val="A5"/>
          <w:rFonts w:ascii="Times New Roman" w:hAnsi="Times New Roman" w:cs="Times New Roman"/>
          <w:i/>
          <w:sz w:val="20"/>
          <w:szCs w:val="20"/>
        </w:rPr>
        <w:t xml:space="preserve">: </w:t>
      </w:r>
    </w:p>
    <w:p w14:paraId="5F1615C9" w14:textId="77777777" w:rsidR="00353691" w:rsidRPr="00353691" w:rsidRDefault="00353691" w:rsidP="00353691">
      <w:pPr>
        <w:spacing w:after="0"/>
      </w:pPr>
    </w:p>
    <w:p w14:paraId="2A32F08E" w14:textId="77777777" w:rsidR="00CC49C3" w:rsidRPr="00B47F53" w:rsidRDefault="00CC49C3" w:rsidP="00F8167B">
      <w:pPr>
        <w:jc w:val="both"/>
        <w:rPr>
          <w:rStyle w:val="A5"/>
          <w:rFonts w:ascii="Times New Roman" w:hAnsi="Times New Roman" w:cs="Times New Roman"/>
          <w:b/>
          <w:sz w:val="20"/>
          <w:szCs w:val="20"/>
        </w:rPr>
      </w:pPr>
      <w:r w:rsidRPr="00B47F53">
        <w:rPr>
          <w:rStyle w:val="A5"/>
          <w:rFonts w:ascii="Times New Roman" w:hAnsi="Times New Roman" w:cs="Times New Roman"/>
          <w:b/>
          <w:sz w:val="20"/>
          <w:szCs w:val="20"/>
        </w:rPr>
        <w:t>Basel III Common Equity Tier I Disclosure Template</w:t>
      </w:r>
    </w:p>
    <w:tbl>
      <w:tblPr>
        <w:tblStyle w:val="TableGrid"/>
        <w:tblW w:w="0" w:type="auto"/>
        <w:tblLook w:val="04A0" w:firstRow="1" w:lastRow="0" w:firstColumn="1" w:lastColumn="0" w:noHBand="0" w:noVBand="1"/>
      </w:tblPr>
      <w:tblGrid>
        <w:gridCol w:w="1312"/>
        <w:gridCol w:w="5989"/>
        <w:gridCol w:w="1036"/>
        <w:gridCol w:w="679"/>
      </w:tblGrid>
      <w:tr w:rsidR="00E35844" w:rsidRPr="00B47F53" w14:paraId="51085D44" w14:textId="77777777" w:rsidTr="00B20E1A">
        <w:trPr>
          <w:trHeight w:val="600"/>
        </w:trPr>
        <w:tc>
          <w:tcPr>
            <w:tcW w:w="9016" w:type="dxa"/>
            <w:gridSpan w:val="4"/>
            <w:shd w:val="clear" w:color="auto" w:fill="92D050"/>
            <w:hideMark/>
          </w:tcPr>
          <w:p w14:paraId="7F4339AB" w14:textId="18EF286D" w:rsidR="00E35844" w:rsidRPr="00B47F53" w:rsidRDefault="00E35844" w:rsidP="00E35844">
            <w:pPr>
              <w:rPr>
                <w:rFonts w:ascii="Times New Roman" w:hAnsi="Times New Roman" w:cs="Times New Roman"/>
                <w:sz w:val="20"/>
                <w:szCs w:val="20"/>
              </w:rPr>
            </w:pPr>
            <w:r w:rsidRPr="0026289E">
              <w:t>Common Equity Tier I capital: instruments and reserves</w:t>
            </w:r>
          </w:p>
        </w:tc>
      </w:tr>
      <w:tr w:rsidR="00E35844" w:rsidRPr="00B47F53" w14:paraId="003BD9C8" w14:textId="77777777" w:rsidTr="00E35844">
        <w:trPr>
          <w:trHeight w:val="600"/>
        </w:trPr>
        <w:tc>
          <w:tcPr>
            <w:tcW w:w="1312" w:type="dxa"/>
            <w:hideMark/>
          </w:tcPr>
          <w:p w14:paraId="48EED531" w14:textId="43EF2D28" w:rsidR="00E35844" w:rsidRPr="00B47F53" w:rsidRDefault="00E35844" w:rsidP="00E35844">
            <w:pPr>
              <w:rPr>
                <w:rFonts w:ascii="Times New Roman" w:hAnsi="Times New Roman" w:cs="Times New Roman"/>
                <w:sz w:val="20"/>
                <w:szCs w:val="20"/>
              </w:rPr>
            </w:pPr>
            <w:r w:rsidRPr="0026289E">
              <w:t>1</w:t>
            </w:r>
          </w:p>
        </w:tc>
        <w:tc>
          <w:tcPr>
            <w:tcW w:w="5989" w:type="dxa"/>
            <w:hideMark/>
          </w:tcPr>
          <w:p w14:paraId="0D758A54"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Directly issued qualifying common share (and equivalent for non-joint stock companies) capital plus related stock surplus.</w:t>
            </w:r>
          </w:p>
        </w:tc>
        <w:tc>
          <w:tcPr>
            <w:tcW w:w="1715" w:type="dxa"/>
            <w:gridSpan w:val="2"/>
            <w:hideMark/>
          </w:tcPr>
          <w:p w14:paraId="71485D9A" w14:textId="5B5CCAC6" w:rsidR="00E35844" w:rsidRPr="00B47F53" w:rsidRDefault="00BB3C14" w:rsidP="00E35844">
            <w:pPr>
              <w:pStyle w:val="NoSpacing"/>
              <w:jc w:val="right"/>
              <w:rPr>
                <w:rFonts w:ascii="Times New Roman" w:hAnsi="Times New Roman" w:cs="Times New Roman"/>
                <w:sz w:val="20"/>
                <w:szCs w:val="20"/>
              </w:rPr>
            </w:pPr>
            <w:r>
              <w:rPr>
                <w:rFonts w:ascii="Times New Roman" w:hAnsi="Times New Roman" w:cs="Times New Roman"/>
                <w:sz w:val="20"/>
                <w:szCs w:val="20"/>
              </w:rPr>
              <w:t xml:space="preserve"> </w:t>
            </w:r>
            <w:r>
              <w:t xml:space="preserve">              </w:t>
            </w:r>
            <w:r w:rsidRPr="00BB3C14">
              <w:rPr>
                <w:rFonts w:ascii="Times New Roman" w:hAnsi="Times New Roman" w:cs="Times New Roman"/>
                <w:sz w:val="20"/>
                <w:szCs w:val="20"/>
              </w:rPr>
              <w:t>140,000</w:t>
            </w:r>
            <w:r w:rsidRPr="00BB3C14">
              <w:rPr>
                <w:rFonts w:ascii="Times New Roman" w:hAnsi="Times New Roman" w:cs="Times New Roman"/>
                <w:sz w:val="20"/>
                <w:szCs w:val="20"/>
              </w:rPr>
              <w:tab/>
            </w:r>
            <w:r w:rsidR="00D17D95" w:rsidRPr="00D17D95">
              <w:rPr>
                <w:rFonts w:ascii="Times New Roman" w:hAnsi="Times New Roman" w:cs="Times New Roman"/>
                <w:sz w:val="20"/>
                <w:szCs w:val="20"/>
              </w:rPr>
              <w:tab/>
            </w:r>
          </w:p>
        </w:tc>
      </w:tr>
      <w:tr w:rsidR="00E35844" w:rsidRPr="00B47F53" w14:paraId="0D6818BA" w14:textId="77777777" w:rsidTr="00E35844">
        <w:trPr>
          <w:trHeight w:val="600"/>
        </w:trPr>
        <w:tc>
          <w:tcPr>
            <w:tcW w:w="1312" w:type="dxa"/>
            <w:hideMark/>
          </w:tcPr>
          <w:p w14:paraId="131E7273" w14:textId="399CAB7B" w:rsidR="00E35844" w:rsidRPr="00B47F53" w:rsidRDefault="00E35844" w:rsidP="00E35844">
            <w:pPr>
              <w:rPr>
                <w:rFonts w:ascii="Times New Roman" w:hAnsi="Times New Roman" w:cs="Times New Roman"/>
                <w:sz w:val="20"/>
                <w:szCs w:val="20"/>
              </w:rPr>
            </w:pPr>
            <w:r w:rsidRPr="0026289E">
              <w:t>2</w:t>
            </w:r>
          </w:p>
        </w:tc>
        <w:tc>
          <w:tcPr>
            <w:tcW w:w="5989" w:type="dxa"/>
            <w:hideMark/>
          </w:tcPr>
          <w:p w14:paraId="12196060"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Retained earnings</w:t>
            </w:r>
          </w:p>
        </w:tc>
        <w:tc>
          <w:tcPr>
            <w:tcW w:w="1715" w:type="dxa"/>
            <w:gridSpan w:val="2"/>
            <w:hideMark/>
          </w:tcPr>
          <w:p w14:paraId="7293065D" w14:textId="0E2B12E1" w:rsidR="00E35844" w:rsidRPr="00B47F53" w:rsidRDefault="00E35844" w:rsidP="00E35844">
            <w:pPr>
              <w:pStyle w:val="NoSpacing"/>
              <w:jc w:val="right"/>
              <w:rPr>
                <w:rFonts w:ascii="Times New Roman" w:hAnsi="Times New Roman" w:cs="Times New Roman"/>
                <w:sz w:val="20"/>
                <w:szCs w:val="20"/>
              </w:rPr>
            </w:pPr>
            <w:r>
              <w:rPr>
                <w:rFonts w:ascii="Times New Roman" w:hAnsi="Times New Roman" w:cs="Times New Roman"/>
                <w:sz w:val="20"/>
                <w:szCs w:val="20"/>
              </w:rPr>
              <w:t xml:space="preserve">               </w:t>
            </w:r>
            <w:r w:rsidR="00BB3C14" w:rsidRPr="00BB3C14">
              <w:rPr>
                <w:rFonts w:ascii="Times New Roman" w:hAnsi="Times New Roman" w:cs="Times New Roman"/>
                <w:sz w:val="20"/>
                <w:szCs w:val="20"/>
              </w:rPr>
              <w:t>267,757</w:t>
            </w:r>
            <w:r w:rsidR="00BB3C14" w:rsidRPr="00BB3C14">
              <w:rPr>
                <w:rFonts w:ascii="Times New Roman" w:hAnsi="Times New Roman" w:cs="Times New Roman"/>
                <w:sz w:val="20"/>
                <w:szCs w:val="20"/>
              </w:rPr>
              <w:tab/>
            </w:r>
            <w:r w:rsidR="00D17D95" w:rsidRPr="00D17D95">
              <w:rPr>
                <w:rFonts w:ascii="Times New Roman" w:hAnsi="Times New Roman" w:cs="Times New Roman"/>
                <w:sz w:val="20"/>
                <w:szCs w:val="20"/>
              </w:rPr>
              <w:tab/>
            </w:r>
          </w:p>
        </w:tc>
      </w:tr>
      <w:tr w:rsidR="00E35844" w:rsidRPr="00B47F53" w14:paraId="7BB58FA0" w14:textId="77777777" w:rsidTr="004550E7">
        <w:trPr>
          <w:trHeight w:val="600"/>
        </w:trPr>
        <w:tc>
          <w:tcPr>
            <w:tcW w:w="1312" w:type="dxa"/>
            <w:hideMark/>
          </w:tcPr>
          <w:p w14:paraId="6D8955AF" w14:textId="12B1F0E9" w:rsidR="00E35844" w:rsidRPr="00B47F53" w:rsidRDefault="00E35844" w:rsidP="00E35844">
            <w:pPr>
              <w:rPr>
                <w:rFonts w:ascii="Times New Roman" w:hAnsi="Times New Roman" w:cs="Times New Roman"/>
                <w:sz w:val="20"/>
                <w:szCs w:val="20"/>
              </w:rPr>
            </w:pPr>
            <w:r w:rsidRPr="0026289E">
              <w:t>3</w:t>
            </w:r>
          </w:p>
        </w:tc>
        <w:tc>
          <w:tcPr>
            <w:tcW w:w="5989" w:type="dxa"/>
            <w:hideMark/>
          </w:tcPr>
          <w:p w14:paraId="48A90AAB"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Accumulated other comprehensive income (and other reserves)</w:t>
            </w:r>
          </w:p>
        </w:tc>
        <w:tc>
          <w:tcPr>
            <w:tcW w:w="1715" w:type="dxa"/>
            <w:gridSpan w:val="2"/>
          </w:tcPr>
          <w:p w14:paraId="180B11C6" w14:textId="3CC71B6B" w:rsidR="00E35844" w:rsidRPr="00872B4E" w:rsidRDefault="00E35844" w:rsidP="00E35844">
            <w:pPr>
              <w:pStyle w:val="NoSpacing"/>
              <w:jc w:val="right"/>
              <w:rPr>
                <w:rFonts w:ascii="Times New Roman" w:hAnsi="Times New Roman" w:cs="Times New Roman"/>
                <w:sz w:val="20"/>
                <w:szCs w:val="20"/>
              </w:rPr>
            </w:pPr>
          </w:p>
        </w:tc>
      </w:tr>
      <w:tr w:rsidR="00E35844" w:rsidRPr="00B47F53" w14:paraId="37573E3C" w14:textId="77777777" w:rsidTr="00E35844">
        <w:trPr>
          <w:trHeight w:val="600"/>
        </w:trPr>
        <w:tc>
          <w:tcPr>
            <w:tcW w:w="1312" w:type="dxa"/>
            <w:hideMark/>
          </w:tcPr>
          <w:p w14:paraId="7F53DDE3" w14:textId="29DC7FBE" w:rsidR="00E35844" w:rsidRPr="00B47F53" w:rsidRDefault="00E35844" w:rsidP="00E35844">
            <w:pPr>
              <w:rPr>
                <w:rFonts w:ascii="Times New Roman" w:hAnsi="Times New Roman" w:cs="Times New Roman"/>
                <w:sz w:val="20"/>
                <w:szCs w:val="20"/>
              </w:rPr>
            </w:pPr>
            <w:r w:rsidRPr="0026289E">
              <w:t>4</w:t>
            </w:r>
          </w:p>
        </w:tc>
        <w:tc>
          <w:tcPr>
            <w:tcW w:w="5989" w:type="dxa"/>
            <w:hideMark/>
          </w:tcPr>
          <w:p w14:paraId="4F745BE7" w14:textId="77777777" w:rsidR="00E35844" w:rsidRPr="00B47F53" w:rsidRDefault="00E35844" w:rsidP="00E35844">
            <w:pPr>
              <w:rPr>
                <w:rFonts w:ascii="Times New Roman" w:hAnsi="Times New Roman" w:cs="Times New Roman"/>
                <w:i/>
                <w:iCs/>
                <w:sz w:val="20"/>
                <w:szCs w:val="20"/>
              </w:rPr>
            </w:pPr>
            <w:r w:rsidRPr="00B47F53">
              <w:rPr>
                <w:rFonts w:ascii="Times New Roman" w:hAnsi="Times New Roman" w:cs="Times New Roman"/>
                <w:i/>
                <w:iCs/>
                <w:sz w:val="20"/>
                <w:szCs w:val="20"/>
              </w:rPr>
              <w:t>Directly issued capital subject to phase out from CET1 CAPITAL (only applicable to non-joint stock companies)</w:t>
            </w:r>
          </w:p>
        </w:tc>
        <w:tc>
          <w:tcPr>
            <w:tcW w:w="1715" w:type="dxa"/>
            <w:gridSpan w:val="2"/>
            <w:hideMark/>
          </w:tcPr>
          <w:p w14:paraId="3DF6924C"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2CED6E33" w14:textId="77777777" w:rsidTr="00E35844">
        <w:trPr>
          <w:trHeight w:val="600"/>
        </w:trPr>
        <w:tc>
          <w:tcPr>
            <w:tcW w:w="1312" w:type="dxa"/>
            <w:hideMark/>
          </w:tcPr>
          <w:p w14:paraId="28FB485C" w14:textId="046D6EE4" w:rsidR="00E35844" w:rsidRPr="00B47F53" w:rsidRDefault="00E35844" w:rsidP="00E35844">
            <w:pPr>
              <w:rPr>
                <w:rFonts w:ascii="Times New Roman" w:hAnsi="Times New Roman" w:cs="Times New Roman"/>
                <w:sz w:val="20"/>
                <w:szCs w:val="20"/>
              </w:rPr>
            </w:pPr>
            <w:r w:rsidRPr="0026289E">
              <w:t>5</w:t>
            </w:r>
          </w:p>
        </w:tc>
        <w:tc>
          <w:tcPr>
            <w:tcW w:w="5989" w:type="dxa"/>
            <w:hideMark/>
          </w:tcPr>
          <w:p w14:paraId="4B13AC9D"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Common share capital issued by subsidiaries and held by third parties (amount allowed in group CET1 CAPITAL)</w:t>
            </w:r>
          </w:p>
        </w:tc>
        <w:tc>
          <w:tcPr>
            <w:tcW w:w="1715" w:type="dxa"/>
            <w:gridSpan w:val="2"/>
            <w:hideMark/>
          </w:tcPr>
          <w:p w14:paraId="4CD1EFE8"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6F90529D" w14:textId="77777777" w:rsidTr="00E35844">
        <w:trPr>
          <w:trHeight w:val="600"/>
        </w:trPr>
        <w:tc>
          <w:tcPr>
            <w:tcW w:w="1312" w:type="dxa"/>
            <w:shd w:val="clear" w:color="auto" w:fill="92D050"/>
            <w:hideMark/>
          </w:tcPr>
          <w:p w14:paraId="2BA968FB" w14:textId="47C13429" w:rsidR="00E35844" w:rsidRPr="00B47F53" w:rsidRDefault="00E35844" w:rsidP="00E35844">
            <w:pPr>
              <w:rPr>
                <w:rFonts w:ascii="Times New Roman" w:hAnsi="Times New Roman" w:cs="Times New Roman"/>
                <w:sz w:val="20"/>
                <w:szCs w:val="20"/>
              </w:rPr>
            </w:pPr>
            <w:r w:rsidRPr="0026289E">
              <w:t>6</w:t>
            </w:r>
          </w:p>
        </w:tc>
        <w:tc>
          <w:tcPr>
            <w:tcW w:w="5989" w:type="dxa"/>
            <w:shd w:val="clear" w:color="auto" w:fill="92D050"/>
            <w:hideMark/>
          </w:tcPr>
          <w:p w14:paraId="1D2D1F7B" w14:textId="77777777" w:rsidR="00E35844" w:rsidRPr="00B47F53" w:rsidRDefault="00E35844" w:rsidP="00E35844">
            <w:pPr>
              <w:rPr>
                <w:rFonts w:ascii="Times New Roman" w:hAnsi="Times New Roman" w:cs="Times New Roman"/>
                <w:b/>
                <w:bCs/>
                <w:sz w:val="20"/>
                <w:szCs w:val="20"/>
              </w:rPr>
            </w:pPr>
            <w:r w:rsidRPr="00B47F53">
              <w:rPr>
                <w:rFonts w:ascii="Times New Roman" w:hAnsi="Times New Roman" w:cs="Times New Roman"/>
                <w:b/>
                <w:bCs/>
                <w:sz w:val="20"/>
                <w:szCs w:val="20"/>
              </w:rPr>
              <w:t>Common Equity Tier I capital before regulatory adjustments</w:t>
            </w:r>
          </w:p>
        </w:tc>
        <w:tc>
          <w:tcPr>
            <w:tcW w:w="1715" w:type="dxa"/>
            <w:gridSpan w:val="2"/>
            <w:shd w:val="clear" w:color="auto" w:fill="92D050"/>
            <w:hideMark/>
          </w:tcPr>
          <w:p w14:paraId="671D714C" w14:textId="2D532078" w:rsidR="00E35844" w:rsidRPr="00B47F53" w:rsidRDefault="009C068F" w:rsidP="00E35844">
            <w:pPr>
              <w:pStyle w:val="NoSpacing"/>
              <w:jc w:val="right"/>
              <w:rPr>
                <w:rFonts w:ascii="Times New Roman" w:hAnsi="Times New Roman" w:cs="Times New Roman"/>
                <w:b/>
                <w:bCs/>
                <w:sz w:val="20"/>
                <w:szCs w:val="20"/>
              </w:rPr>
            </w:pPr>
            <w:r>
              <w:rPr>
                <w:rFonts w:ascii="Times New Roman" w:hAnsi="Times New Roman" w:cs="Times New Roman"/>
                <w:b/>
                <w:bCs/>
                <w:sz w:val="20"/>
                <w:szCs w:val="20"/>
              </w:rPr>
              <w:t xml:space="preserve"> </w:t>
            </w:r>
            <w:r w:rsidRPr="009C068F">
              <w:rPr>
                <w:rFonts w:ascii="Times New Roman" w:hAnsi="Times New Roman" w:cs="Times New Roman"/>
                <w:b/>
                <w:bCs/>
                <w:sz w:val="20"/>
                <w:szCs w:val="20"/>
              </w:rPr>
              <w:t>407,757</w:t>
            </w:r>
            <w:r w:rsidRPr="009C068F">
              <w:rPr>
                <w:rFonts w:ascii="Times New Roman" w:hAnsi="Times New Roman" w:cs="Times New Roman"/>
                <w:b/>
                <w:bCs/>
                <w:sz w:val="20"/>
                <w:szCs w:val="20"/>
              </w:rPr>
              <w:tab/>
            </w:r>
          </w:p>
        </w:tc>
      </w:tr>
      <w:tr w:rsidR="00E35844" w:rsidRPr="00B47F53" w14:paraId="53B778B2" w14:textId="77777777" w:rsidTr="00E35844">
        <w:trPr>
          <w:trHeight w:val="600"/>
        </w:trPr>
        <w:tc>
          <w:tcPr>
            <w:tcW w:w="1312" w:type="dxa"/>
            <w:shd w:val="clear" w:color="auto" w:fill="92D050"/>
            <w:hideMark/>
          </w:tcPr>
          <w:p w14:paraId="0EBE415B" w14:textId="77777777" w:rsidR="00E35844" w:rsidRPr="00B47F53" w:rsidRDefault="00E35844" w:rsidP="00E35844">
            <w:pPr>
              <w:rPr>
                <w:rFonts w:ascii="Times New Roman" w:hAnsi="Times New Roman" w:cs="Times New Roman"/>
                <w:sz w:val="20"/>
                <w:szCs w:val="20"/>
              </w:rPr>
            </w:pPr>
          </w:p>
        </w:tc>
        <w:tc>
          <w:tcPr>
            <w:tcW w:w="5989" w:type="dxa"/>
            <w:shd w:val="clear" w:color="auto" w:fill="92D050"/>
            <w:hideMark/>
          </w:tcPr>
          <w:p w14:paraId="33DDFE53" w14:textId="77777777" w:rsidR="00E35844" w:rsidRPr="00B47F53" w:rsidRDefault="00E35844" w:rsidP="00E35844">
            <w:pPr>
              <w:rPr>
                <w:rFonts w:ascii="Times New Roman" w:hAnsi="Times New Roman" w:cs="Times New Roman"/>
                <w:b/>
                <w:bCs/>
                <w:sz w:val="20"/>
                <w:szCs w:val="20"/>
              </w:rPr>
            </w:pPr>
            <w:r w:rsidRPr="00B47F53">
              <w:rPr>
                <w:rFonts w:ascii="Times New Roman" w:hAnsi="Times New Roman" w:cs="Times New Roman"/>
                <w:b/>
                <w:bCs/>
                <w:sz w:val="20"/>
                <w:szCs w:val="20"/>
              </w:rPr>
              <w:t>Common Equity Tier I capital: regulatory adjustments</w:t>
            </w:r>
          </w:p>
        </w:tc>
        <w:tc>
          <w:tcPr>
            <w:tcW w:w="1715" w:type="dxa"/>
            <w:gridSpan w:val="2"/>
            <w:shd w:val="clear" w:color="auto" w:fill="92D050"/>
            <w:hideMark/>
          </w:tcPr>
          <w:p w14:paraId="66728DD1" w14:textId="77777777" w:rsidR="00E35844" w:rsidRPr="00B47F53" w:rsidRDefault="00E35844" w:rsidP="00E35844">
            <w:pPr>
              <w:pStyle w:val="NoSpacing"/>
              <w:jc w:val="right"/>
              <w:rPr>
                <w:rFonts w:ascii="Times New Roman" w:hAnsi="Times New Roman" w:cs="Times New Roman"/>
                <w:b/>
                <w:bCs/>
                <w:sz w:val="20"/>
                <w:szCs w:val="20"/>
              </w:rPr>
            </w:pPr>
            <w:r w:rsidRPr="00B47F53">
              <w:rPr>
                <w:rFonts w:ascii="Times New Roman" w:hAnsi="Times New Roman" w:cs="Times New Roman"/>
                <w:b/>
                <w:bCs/>
                <w:sz w:val="20"/>
                <w:szCs w:val="20"/>
              </w:rPr>
              <w:t> </w:t>
            </w:r>
          </w:p>
        </w:tc>
      </w:tr>
      <w:tr w:rsidR="00E35844" w:rsidRPr="00B47F53" w14:paraId="003836DF" w14:textId="77777777" w:rsidTr="00E35844">
        <w:trPr>
          <w:trHeight w:val="600"/>
        </w:trPr>
        <w:tc>
          <w:tcPr>
            <w:tcW w:w="1312" w:type="dxa"/>
            <w:hideMark/>
          </w:tcPr>
          <w:p w14:paraId="409E2279" w14:textId="09CA8D1C" w:rsidR="00E35844" w:rsidRPr="00B47F53" w:rsidRDefault="00E35844" w:rsidP="00E35844">
            <w:pPr>
              <w:rPr>
                <w:rFonts w:ascii="Times New Roman" w:hAnsi="Times New Roman" w:cs="Times New Roman"/>
                <w:sz w:val="20"/>
                <w:szCs w:val="20"/>
              </w:rPr>
            </w:pPr>
            <w:r w:rsidRPr="0026289E">
              <w:t>7</w:t>
            </w:r>
          </w:p>
        </w:tc>
        <w:tc>
          <w:tcPr>
            <w:tcW w:w="5989" w:type="dxa"/>
            <w:hideMark/>
          </w:tcPr>
          <w:p w14:paraId="0D9D65AF"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Prudential valuation adjustments</w:t>
            </w:r>
          </w:p>
        </w:tc>
        <w:tc>
          <w:tcPr>
            <w:tcW w:w="1715" w:type="dxa"/>
            <w:gridSpan w:val="2"/>
            <w:hideMark/>
          </w:tcPr>
          <w:p w14:paraId="6A52A95D"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6838D511" w14:textId="77777777" w:rsidTr="00E35844">
        <w:trPr>
          <w:trHeight w:val="600"/>
        </w:trPr>
        <w:tc>
          <w:tcPr>
            <w:tcW w:w="1312" w:type="dxa"/>
            <w:hideMark/>
          </w:tcPr>
          <w:p w14:paraId="079DB393" w14:textId="5F34DA4E" w:rsidR="00E35844" w:rsidRPr="00B47F53" w:rsidRDefault="00E35844" w:rsidP="00E35844">
            <w:pPr>
              <w:rPr>
                <w:rFonts w:ascii="Times New Roman" w:hAnsi="Times New Roman" w:cs="Times New Roman"/>
                <w:sz w:val="20"/>
                <w:szCs w:val="20"/>
              </w:rPr>
            </w:pPr>
            <w:r w:rsidRPr="0026289E">
              <w:t>8</w:t>
            </w:r>
          </w:p>
        </w:tc>
        <w:tc>
          <w:tcPr>
            <w:tcW w:w="5989" w:type="dxa"/>
            <w:hideMark/>
          </w:tcPr>
          <w:p w14:paraId="47FEC879"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Goodwill (net of related tax liability)</w:t>
            </w:r>
          </w:p>
        </w:tc>
        <w:tc>
          <w:tcPr>
            <w:tcW w:w="1715" w:type="dxa"/>
            <w:gridSpan w:val="2"/>
            <w:hideMark/>
          </w:tcPr>
          <w:p w14:paraId="145DA969"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076AE9E0" w14:textId="77777777" w:rsidTr="00E35844">
        <w:trPr>
          <w:trHeight w:val="600"/>
        </w:trPr>
        <w:tc>
          <w:tcPr>
            <w:tcW w:w="1312" w:type="dxa"/>
            <w:hideMark/>
          </w:tcPr>
          <w:p w14:paraId="6752E8A8" w14:textId="0277E132" w:rsidR="00E35844" w:rsidRPr="00B47F53" w:rsidRDefault="00E35844" w:rsidP="00E35844">
            <w:pPr>
              <w:rPr>
                <w:rFonts w:ascii="Times New Roman" w:hAnsi="Times New Roman" w:cs="Times New Roman"/>
                <w:sz w:val="20"/>
                <w:szCs w:val="20"/>
              </w:rPr>
            </w:pPr>
            <w:r w:rsidRPr="0026289E">
              <w:t>9.a</w:t>
            </w:r>
          </w:p>
        </w:tc>
        <w:tc>
          <w:tcPr>
            <w:tcW w:w="5989" w:type="dxa"/>
            <w:hideMark/>
          </w:tcPr>
          <w:p w14:paraId="72B45C0E"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Other intangibles other than mortgage-servicing rights (net of related tax liability)</w:t>
            </w:r>
          </w:p>
        </w:tc>
        <w:tc>
          <w:tcPr>
            <w:tcW w:w="1715" w:type="dxa"/>
            <w:gridSpan w:val="2"/>
            <w:hideMark/>
          </w:tcPr>
          <w:p w14:paraId="0C3C7BED" w14:textId="0571E369" w:rsidR="00E35844" w:rsidRPr="00B47F53" w:rsidRDefault="009C068F" w:rsidP="00E35844">
            <w:pPr>
              <w:pStyle w:val="NoSpacing"/>
              <w:jc w:val="right"/>
              <w:rPr>
                <w:rFonts w:ascii="Times New Roman" w:hAnsi="Times New Roman" w:cs="Times New Roman"/>
                <w:sz w:val="20"/>
                <w:szCs w:val="20"/>
              </w:rPr>
            </w:pPr>
            <w:r>
              <w:rPr>
                <w:rFonts w:ascii="Times New Roman" w:hAnsi="Times New Roman" w:cs="Times New Roman"/>
                <w:sz w:val="20"/>
                <w:szCs w:val="20"/>
              </w:rPr>
              <w:t xml:space="preserve"> </w:t>
            </w:r>
            <w:r>
              <w:t xml:space="preserve">                  </w:t>
            </w:r>
            <w:r w:rsidRPr="009C068F">
              <w:rPr>
                <w:rFonts w:ascii="Times New Roman" w:hAnsi="Times New Roman" w:cs="Times New Roman"/>
                <w:sz w:val="20"/>
                <w:szCs w:val="20"/>
              </w:rPr>
              <w:t>4,845</w:t>
            </w:r>
            <w:r w:rsidRPr="009C068F">
              <w:rPr>
                <w:rFonts w:ascii="Times New Roman" w:hAnsi="Times New Roman" w:cs="Times New Roman"/>
                <w:sz w:val="20"/>
                <w:szCs w:val="20"/>
              </w:rPr>
              <w:tab/>
            </w:r>
          </w:p>
        </w:tc>
      </w:tr>
      <w:tr w:rsidR="00E35844" w:rsidRPr="00B47F53" w14:paraId="74309E2E" w14:textId="77777777" w:rsidTr="00E35844">
        <w:trPr>
          <w:trHeight w:val="600"/>
        </w:trPr>
        <w:tc>
          <w:tcPr>
            <w:tcW w:w="1312" w:type="dxa"/>
            <w:hideMark/>
          </w:tcPr>
          <w:p w14:paraId="3924DF0E" w14:textId="6E33747B" w:rsidR="00E35844" w:rsidRPr="00B47F53" w:rsidRDefault="00E35844" w:rsidP="00E35844">
            <w:pPr>
              <w:rPr>
                <w:rFonts w:ascii="Times New Roman" w:hAnsi="Times New Roman" w:cs="Times New Roman"/>
                <w:sz w:val="20"/>
                <w:szCs w:val="20"/>
              </w:rPr>
            </w:pPr>
          </w:p>
        </w:tc>
        <w:tc>
          <w:tcPr>
            <w:tcW w:w="5989" w:type="dxa"/>
            <w:hideMark/>
          </w:tcPr>
          <w:p w14:paraId="568DE344" w14:textId="0568BE41"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 xml:space="preserve">Transitional Adjustment Amount Added Back to CET1 </w:t>
            </w:r>
            <w:r>
              <w:rPr>
                <w:rFonts w:ascii="Times New Roman" w:hAnsi="Times New Roman" w:cs="Times New Roman"/>
                <w:sz w:val="20"/>
                <w:szCs w:val="20"/>
              </w:rPr>
              <w:t>(</w:t>
            </w:r>
            <w:r w:rsidRPr="00B47F53">
              <w:rPr>
                <w:rFonts w:ascii="Times New Roman" w:hAnsi="Times New Roman" w:cs="Times New Roman"/>
                <w:sz w:val="20"/>
                <w:szCs w:val="20"/>
              </w:rPr>
              <w:t xml:space="preserve">IFRS 9 Provisions </w:t>
            </w:r>
            <w:r>
              <w:rPr>
                <w:rFonts w:ascii="Times New Roman" w:hAnsi="Times New Roman" w:cs="Times New Roman"/>
                <w:sz w:val="20"/>
                <w:szCs w:val="20"/>
              </w:rPr>
              <w:t>t</w:t>
            </w:r>
            <w:r w:rsidRPr="00B47F53">
              <w:rPr>
                <w:rFonts w:ascii="Times New Roman" w:hAnsi="Times New Roman" w:cs="Times New Roman"/>
                <w:sz w:val="20"/>
                <w:szCs w:val="20"/>
              </w:rPr>
              <w:t xml:space="preserve">ransitional </w:t>
            </w:r>
            <w:r>
              <w:rPr>
                <w:rFonts w:ascii="Times New Roman" w:hAnsi="Times New Roman" w:cs="Times New Roman"/>
                <w:sz w:val="20"/>
                <w:szCs w:val="20"/>
              </w:rPr>
              <w:t>a</w:t>
            </w:r>
            <w:r w:rsidRPr="00B47F53">
              <w:rPr>
                <w:rFonts w:ascii="Times New Roman" w:hAnsi="Times New Roman" w:cs="Times New Roman"/>
                <w:sz w:val="20"/>
                <w:szCs w:val="20"/>
              </w:rPr>
              <w:t>djustments</w:t>
            </w:r>
            <w:r>
              <w:rPr>
                <w:rFonts w:ascii="Times New Roman" w:hAnsi="Times New Roman" w:cs="Times New Roman"/>
                <w:sz w:val="20"/>
                <w:szCs w:val="20"/>
              </w:rPr>
              <w:t>)</w:t>
            </w:r>
          </w:p>
        </w:tc>
        <w:tc>
          <w:tcPr>
            <w:tcW w:w="1715" w:type="dxa"/>
            <w:gridSpan w:val="2"/>
            <w:hideMark/>
          </w:tcPr>
          <w:p w14:paraId="46847FCC" w14:textId="1E578614" w:rsidR="00E35844" w:rsidRDefault="00E35844" w:rsidP="00E35844">
            <w:pPr>
              <w:pStyle w:val="NoSpacing"/>
              <w:jc w:val="right"/>
              <w:rPr>
                <w:rFonts w:ascii="Times New Roman" w:hAnsi="Times New Roman" w:cs="Times New Roman"/>
                <w:sz w:val="20"/>
                <w:szCs w:val="20"/>
              </w:rPr>
            </w:pPr>
            <w:r>
              <w:rPr>
                <w:rFonts w:ascii="Times New Roman" w:hAnsi="Times New Roman" w:cs="Times New Roman"/>
                <w:sz w:val="20"/>
                <w:szCs w:val="20"/>
              </w:rPr>
              <w:t>-</w:t>
            </w:r>
          </w:p>
          <w:p w14:paraId="1C5496F9" w14:textId="769B7FD8" w:rsidR="00E35844" w:rsidRPr="00B47F53" w:rsidRDefault="00E35844" w:rsidP="00E35844">
            <w:pPr>
              <w:pStyle w:val="NoSpacing"/>
              <w:jc w:val="right"/>
              <w:rPr>
                <w:rFonts w:ascii="Times New Roman" w:hAnsi="Times New Roman" w:cs="Times New Roman"/>
                <w:sz w:val="20"/>
                <w:szCs w:val="20"/>
              </w:rPr>
            </w:pPr>
          </w:p>
        </w:tc>
      </w:tr>
      <w:tr w:rsidR="00E35844" w:rsidRPr="00B47F53" w14:paraId="4EB91FD2" w14:textId="77777777" w:rsidTr="00E35844">
        <w:trPr>
          <w:trHeight w:val="600"/>
        </w:trPr>
        <w:tc>
          <w:tcPr>
            <w:tcW w:w="1312" w:type="dxa"/>
            <w:hideMark/>
          </w:tcPr>
          <w:p w14:paraId="08312EBE" w14:textId="42A1885F" w:rsidR="00E35844" w:rsidRPr="00B47F53" w:rsidRDefault="00E35844" w:rsidP="00E35844">
            <w:pPr>
              <w:rPr>
                <w:rFonts w:ascii="Times New Roman" w:hAnsi="Times New Roman" w:cs="Times New Roman"/>
                <w:sz w:val="20"/>
                <w:szCs w:val="20"/>
              </w:rPr>
            </w:pPr>
            <w:r w:rsidRPr="0026289E">
              <w:t>9.b</w:t>
            </w:r>
          </w:p>
        </w:tc>
        <w:tc>
          <w:tcPr>
            <w:tcW w:w="5989" w:type="dxa"/>
            <w:hideMark/>
          </w:tcPr>
          <w:p w14:paraId="61DAF561"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Deferred tax assets that rely on future profitability excluding those arising from temporary differences (net of related tax liability)</w:t>
            </w:r>
          </w:p>
        </w:tc>
        <w:tc>
          <w:tcPr>
            <w:tcW w:w="1715" w:type="dxa"/>
            <w:gridSpan w:val="2"/>
            <w:hideMark/>
          </w:tcPr>
          <w:p w14:paraId="28047995"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67284DAB" w14:textId="77777777" w:rsidTr="00E35844">
        <w:trPr>
          <w:trHeight w:val="600"/>
        </w:trPr>
        <w:tc>
          <w:tcPr>
            <w:tcW w:w="1312" w:type="dxa"/>
            <w:hideMark/>
          </w:tcPr>
          <w:p w14:paraId="2F069B33" w14:textId="02E43AB5" w:rsidR="00E35844" w:rsidRPr="00B47F53" w:rsidRDefault="00E35844" w:rsidP="00E35844">
            <w:pPr>
              <w:rPr>
                <w:rFonts w:ascii="Times New Roman" w:hAnsi="Times New Roman" w:cs="Times New Roman"/>
                <w:sz w:val="20"/>
                <w:szCs w:val="20"/>
              </w:rPr>
            </w:pPr>
            <w:r w:rsidRPr="0026289E">
              <w:t>10</w:t>
            </w:r>
          </w:p>
        </w:tc>
        <w:tc>
          <w:tcPr>
            <w:tcW w:w="5989" w:type="dxa"/>
            <w:hideMark/>
          </w:tcPr>
          <w:p w14:paraId="2B7CBA30"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Cash-flow hedge reserve</w:t>
            </w:r>
          </w:p>
        </w:tc>
        <w:tc>
          <w:tcPr>
            <w:tcW w:w="1715" w:type="dxa"/>
            <w:gridSpan w:val="2"/>
            <w:hideMark/>
          </w:tcPr>
          <w:p w14:paraId="6AFF81ED"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5A419F16" w14:textId="77777777" w:rsidTr="00E35844">
        <w:trPr>
          <w:trHeight w:val="600"/>
        </w:trPr>
        <w:tc>
          <w:tcPr>
            <w:tcW w:w="1312" w:type="dxa"/>
            <w:hideMark/>
          </w:tcPr>
          <w:p w14:paraId="10387A9B" w14:textId="6D55A96C" w:rsidR="00E35844" w:rsidRPr="00B47F53" w:rsidRDefault="00E35844" w:rsidP="00E35844">
            <w:pPr>
              <w:rPr>
                <w:rFonts w:ascii="Times New Roman" w:hAnsi="Times New Roman" w:cs="Times New Roman"/>
                <w:sz w:val="20"/>
                <w:szCs w:val="20"/>
              </w:rPr>
            </w:pPr>
            <w:r w:rsidRPr="0026289E">
              <w:t>11</w:t>
            </w:r>
          </w:p>
        </w:tc>
        <w:tc>
          <w:tcPr>
            <w:tcW w:w="5989" w:type="dxa"/>
            <w:hideMark/>
          </w:tcPr>
          <w:p w14:paraId="61C44BD9"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Shortfall of provisions to expected losses</w:t>
            </w:r>
          </w:p>
        </w:tc>
        <w:tc>
          <w:tcPr>
            <w:tcW w:w="1715" w:type="dxa"/>
            <w:gridSpan w:val="2"/>
            <w:hideMark/>
          </w:tcPr>
          <w:p w14:paraId="429E9EDF"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634A6BBE" w14:textId="77777777" w:rsidTr="00E35844">
        <w:trPr>
          <w:trHeight w:val="600"/>
        </w:trPr>
        <w:tc>
          <w:tcPr>
            <w:tcW w:w="1312" w:type="dxa"/>
            <w:hideMark/>
          </w:tcPr>
          <w:p w14:paraId="2280F32C" w14:textId="752B5444" w:rsidR="00E35844" w:rsidRPr="00B47F53" w:rsidRDefault="00E35844" w:rsidP="00E35844">
            <w:pPr>
              <w:rPr>
                <w:rFonts w:ascii="Times New Roman" w:hAnsi="Times New Roman" w:cs="Times New Roman"/>
                <w:sz w:val="20"/>
                <w:szCs w:val="20"/>
              </w:rPr>
            </w:pPr>
            <w:r w:rsidRPr="0026289E">
              <w:lastRenderedPageBreak/>
              <w:t>12</w:t>
            </w:r>
          </w:p>
        </w:tc>
        <w:tc>
          <w:tcPr>
            <w:tcW w:w="5989" w:type="dxa"/>
            <w:hideMark/>
          </w:tcPr>
          <w:p w14:paraId="47FDB334"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Securitisation gain on sale (as set out in paragraph 562 of Basel II framework)</w:t>
            </w:r>
          </w:p>
        </w:tc>
        <w:tc>
          <w:tcPr>
            <w:tcW w:w="1715" w:type="dxa"/>
            <w:gridSpan w:val="2"/>
            <w:hideMark/>
          </w:tcPr>
          <w:p w14:paraId="6AD0B205"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7AE8D9AB" w14:textId="77777777" w:rsidTr="00E35844">
        <w:trPr>
          <w:trHeight w:val="600"/>
        </w:trPr>
        <w:tc>
          <w:tcPr>
            <w:tcW w:w="1312" w:type="dxa"/>
            <w:hideMark/>
          </w:tcPr>
          <w:p w14:paraId="391430AA" w14:textId="0B6BDDF7" w:rsidR="00E35844" w:rsidRPr="00B47F53" w:rsidRDefault="00E35844" w:rsidP="00E35844">
            <w:pPr>
              <w:rPr>
                <w:rFonts w:ascii="Times New Roman" w:hAnsi="Times New Roman" w:cs="Times New Roman"/>
                <w:sz w:val="20"/>
                <w:szCs w:val="20"/>
              </w:rPr>
            </w:pPr>
            <w:r w:rsidRPr="0026289E">
              <w:t>13</w:t>
            </w:r>
          </w:p>
        </w:tc>
        <w:tc>
          <w:tcPr>
            <w:tcW w:w="5989" w:type="dxa"/>
            <w:hideMark/>
          </w:tcPr>
          <w:p w14:paraId="569BBF06"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Gains and losses due to changes in own credit risk on fair valued liabilities</w:t>
            </w:r>
          </w:p>
        </w:tc>
        <w:tc>
          <w:tcPr>
            <w:tcW w:w="1715" w:type="dxa"/>
            <w:gridSpan w:val="2"/>
            <w:hideMark/>
          </w:tcPr>
          <w:p w14:paraId="2FFC3E25"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54C712A8" w14:textId="77777777" w:rsidTr="00E35844">
        <w:trPr>
          <w:trHeight w:val="600"/>
        </w:trPr>
        <w:tc>
          <w:tcPr>
            <w:tcW w:w="1312" w:type="dxa"/>
            <w:hideMark/>
          </w:tcPr>
          <w:p w14:paraId="51F37938" w14:textId="5BFC4DD8" w:rsidR="00E35844" w:rsidRPr="00B47F53" w:rsidRDefault="00E35844" w:rsidP="00E35844">
            <w:pPr>
              <w:rPr>
                <w:rFonts w:ascii="Times New Roman" w:hAnsi="Times New Roman" w:cs="Times New Roman"/>
                <w:sz w:val="20"/>
                <w:szCs w:val="20"/>
              </w:rPr>
            </w:pPr>
            <w:r w:rsidRPr="0026289E">
              <w:t>14</w:t>
            </w:r>
          </w:p>
        </w:tc>
        <w:tc>
          <w:tcPr>
            <w:tcW w:w="5989" w:type="dxa"/>
            <w:hideMark/>
          </w:tcPr>
          <w:p w14:paraId="047E3C2E"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Defined-benefit pension fund net assets</w:t>
            </w:r>
          </w:p>
        </w:tc>
        <w:tc>
          <w:tcPr>
            <w:tcW w:w="1715" w:type="dxa"/>
            <w:gridSpan w:val="2"/>
            <w:hideMark/>
          </w:tcPr>
          <w:p w14:paraId="79D75439"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662D9A92" w14:textId="77777777" w:rsidTr="00E35844">
        <w:trPr>
          <w:trHeight w:val="600"/>
        </w:trPr>
        <w:tc>
          <w:tcPr>
            <w:tcW w:w="1312" w:type="dxa"/>
            <w:hideMark/>
          </w:tcPr>
          <w:p w14:paraId="74238BEC" w14:textId="2487B5B0" w:rsidR="00E35844" w:rsidRPr="00B47F53" w:rsidRDefault="00E35844" w:rsidP="00E35844">
            <w:pPr>
              <w:rPr>
                <w:rFonts w:ascii="Times New Roman" w:hAnsi="Times New Roman" w:cs="Times New Roman"/>
                <w:sz w:val="20"/>
                <w:szCs w:val="20"/>
              </w:rPr>
            </w:pPr>
            <w:r w:rsidRPr="0026289E">
              <w:t>15</w:t>
            </w:r>
          </w:p>
        </w:tc>
        <w:tc>
          <w:tcPr>
            <w:tcW w:w="5989" w:type="dxa"/>
            <w:hideMark/>
          </w:tcPr>
          <w:p w14:paraId="12BBD539"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Investments in own shares (if not already netted off paid-in capital on reported balance sheet)</w:t>
            </w:r>
          </w:p>
        </w:tc>
        <w:tc>
          <w:tcPr>
            <w:tcW w:w="1715" w:type="dxa"/>
            <w:gridSpan w:val="2"/>
            <w:hideMark/>
          </w:tcPr>
          <w:p w14:paraId="4AEFA22E"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27054BDA" w14:textId="77777777" w:rsidTr="00E35844">
        <w:trPr>
          <w:trHeight w:val="600"/>
        </w:trPr>
        <w:tc>
          <w:tcPr>
            <w:tcW w:w="1312" w:type="dxa"/>
            <w:hideMark/>
          </w:tcPr>
          <w:p w14:paraId="7E8FC766" w14:textId="332B8BB1" w:rsidR="00E35844" w:rsidRPr="00B47F53" w:rsidRDefault="00E35844" w:rsidP="00E35844">
            <w:pPr>
              <w:rPr>
                <w:rFonts w:ascii="Times New Roman" w:hAnsi="Times New Roman" w:cs="Times New Roman"/>
                <w:sz w:val="20"/>
                <w:szCs w:val="20"/>
              </w:rPr>
            </w:pPr>
            <w:r w:rsidRPr="0026289E">
              <w:t>16</w:t>
            </w:r>
          </w:p>
        </w:tc>
        <w:tc>
          <w:tcPr>
            <w:tcW w:w="5989" w:type="dxa"/>
            <w:hideMark/>
          </w:tcPr>
          <w:p w14:paraId="6CE197A0"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Reciprocal cross-holdings in common equity</w:t>
            </w:r>
          </w:p>
        </w:tc>
        <w:tc>
          <w:tcPr>
            <w:tcW w:w="1715" w:type="dxa"/>
            <w:gridSpan w:val="2"/>
            <w:hideMark/>
          </w:tcPr>
          <w:p w14:paraId="2582D3D5"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5DE0C102" w14:textId="77777777" w:rsidTr="00E35844">
        <w:trPr>
          <w:trHeight w:val="600"/>
        </w:trPr>
        <w:tc>
          <w:tcPr>
            <w:tcW w:w="1312" w:type="dxa"/>
            <w:hideMark/>
          </w:tcPr>
          <w:p w14:paraId="113BA9E3" w14:textId="58A2F76C" w:rsidR="00E35844" w:rsidRPr="00B47F53" w:rsidRDefault="00E35844" w:rsidP="00E35844">
            <w:pPr>
              <w:rPr>
                <w:rFonts w:ascii="Times New Roman" w:hAnsi="Times New Roman" w:cs="Times New Roman"/>
                <w:sz w:val="20"/>
                <w:szCs w:val="20"/>
              </w:rPr>
            </w:pPr>
            <w:r w:rsidRPr="0026289E">
              <w:t>17</w:t>
            </w:r>
          </w:p>
        </w:tc>
        <w:tc>
          <w:tcPr>
            <w:tcW w:w="5989" w:type="dxa"/>
            <w:hideMark/>
          </w:tcPr>
          <w:p w14:paraId="38F12C14"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Investments in the capital of banking, financial and insurance entities that are outside the scope of regulatory consolidation, net of eligible short positions, where the bank does not own more than 10% of the issued share capital (amount above 10% threshold)</w:t>
            </w:r>
          </w:p>
        </w:tc>
        <w:tc>
          <w:tcPr>
            <w:tcW w:w="1715" w:type="dxa"/>
            <w:gridSpan w:val="2"/>
            <w:hideMark/>
          </w:tcPr>
          <w:p w14:paraId="1734C11A"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56774AFB" w14:textId="77777777" w:rsidTr="00E35844">
        <w:trPr>
          <w:trHeight w:val="600"/>
        </w:trPr>
        <w:tc>
          <w:tcPr>
            <w:tcW w:w="1312" w:type="dxa"/>
            <w:hideMark/>
          </w:tcPr>
          <w:p w14:paraId="12595D45" w14:textId="75915AF3" w:rsidR="00E35844" w:rsidRPr="00B47F53" w:rsidRDefault="00E35844" w:rsidP="00E35844">
            <w:pPr>
              <w:rPr>
                <w:rFonts w:ascii="Times New Roman" w:hAnsi="Times New Roman" w:cs="Times New Roman"/>
                <w:sz w:val="20"/>
                <w:szCs w:val="20"/>
              </w:rPr>
            </w:pPr>
            <w:r w:rsidRPr="0026289E">
              <w:t>18</w:t>
            </w:r>
          </w:p>
        </w:tc>
        <w:tc>
          <w:tcPr>
            <w:tcW w:w="5989" w:type="dxa"/>
            <w:hideMark/>
          </w:tcPr>
          <w:p w14:paraId="095BD6FE"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Significant investments in the common stock of banking, financial and insurance entities that are outside the scope of regulatory consolidation, net of eligible short positions (amount above 10% threshold)</w:t>
            </w:r>
          </w:p>
        </w:tc>
        <w:tc>
          <w:tcPr>
            <w:tcW w:w="1715" w:type="dxa"/>
            <w:gridSpan w:val="2"/>
            <w:hideMark/>
          </w:tcPr>
          <w:p w14:paraId="23538739"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7A9D27EC" w14:textId="77777777" w:rsidTr="00E35844">
        <w:trPr>
          <w:trHeight w:val="600"/>
        </w:trPr>
        <w:tc>
          <w:tcPr>
            <w:tcW w:w="1312" w:type="dxa"/>
            <w:hideMark/>
          </w:tcPr>
          <w:p w14:paraId="39845EA5" w14:textId="16496D78" w:rsidR="00E35844" w:rsidRPr="00B47F53" w:rsidRDefault="00E35844" w:rsidP="00E35844">
            <w:pPr>
              <w:rPr>
                <w:rFonts w:ascii="Times New Roman" w:hAnsi="Times New Roman" w:cs="Times New Roman"/>
                <w:sz w:val="20"/>
                <w:szCs w:val="20"/>
              </w:rPr>
            </w:pPr>
            <w:r w:rsidRPr="0026289E">
              <w:t>19</w:t>
            </w:r>
          </w:p>
        </w:tc>
        <w:tc>
          <w:tcPr>
            <w:tcW w:w="5989" w:type="dxa"/>
            <w:hideMark/>
          </w:tcPr>
          <w:p w14:paraId="262FA327"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 xml:space="preserve">  Mortgage servicing rights (amount above 10% threshold)</w:t>
            </w:r>
          </w:p>
        </w:tc>
        <w:tc>
          <w:tcPr>
            <w:tcW w:w="1715" w:type="dxa"/>
            <w:gridSpan w:val="2"/>
            <w:hideMark/>
          </w:tcPr>
          <w:p w14:paraId="0C92E663"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3C6BB1C9" w14:textId="77777777" w:rsidTr="00E35844">
        <w:trPr>
          <w:trHeight w:val="600"/>
        </w:trPr>
        <w:tc>
          <w:tcPr>
            <w:tcW w:w="1312" w:type="dxa"/>
            <w:hideMark/>
          </w:tcPr>
          <w:p w14:paraId="7A117F45" w14:textId="0B79CA46" w:rsidR="00E35844" w:rsidRPr="00B47F53" w:rsidRDefault="00E35844" w:rsidP="00E35844">
            <w:pPr>
              <w:rPr>
                <w:rFonts w:ascii="Times New Roman" w:hAnsi="Times New Roman" w:cs="Times New Roman"/>
                <w:sz w:val="20"/>
                <w:szCs w:val="20"/>
              </w:rPr>
            </w:pPr>
            <w:r w:rsidRPr="0026289E">
              <w:t>20</w:t>
            </w:r>
          </w:p>
        </w:tc>
        <w:tc>
          <w:tcPr>
            <w:tcW w:w="5989" w:type="dxa"/>
            <w:hideMark/>
          </w:tcPr>
          <w:p w14:paraId="0C4C61B2"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 xml:space="preserve">  Deferred tax assets arising from temporary differences (amount above 10% threshold, net of related tax    liability)</w:t>
            </w:r>
          </w:p>
        </w:tc>
        <w:tc>
          <w:tcPr>
            <w:tcW w:w="1715" w:type="dxa"/>
            <w:gridSpan w:val="2"/>
            <w:hideMark/>
          </w:tcPr>
          <w:p w14:paraId="694CA53B"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1A4C193B" w14:textId="77777777" w:rsidTr="00E35844">
        <w:trPr>
          <w:trHeight w:val="600"/>
        </w:trPr>
        <w:tc>
          <w:tcPr>
            <w:tcW w:w="1312" w:type="dxa"/>
            <w:hideMark/>
          </w:tcPr>
          <w:p w14:paraId="0A902E56" w14:textId="08A866FF" w:rsidR="00E35844" w:rsidRPr="00B47F53" w:rsidRDefault="00E35844" w:rsidP="00E35844">
            <w:pPr>
              <w:rPr>
                <w:rFonts w:ascii="Times New Roman" w:hAnsi="Times New Roman" w:cs="Times New Roman"/>
                <w:sz w:val="20"/>
                <w:szCs w:val="20"/>
              </w:rPr>
            </w:pPr>
            <w:r w:rsidRPr="0026289E">
              <w:t>21</w:t>
            </w:r>
          </w:p>
        </w:tc>
        <w:tc>
          <w:tcPr>
            <w:tcW w:w="5989" w:type="dxa"/>
            <w:hideMark/>
          </w:tcPr>
          <w:p w14:paraId="584E4333"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Amount exceeding the 15% threshold</w:t>
            </w:r>
          </w:p>
        </w:tc>
        <w:tc>
          <w:tcPr>
            <w:tcW w:w="1715" w:type="dxa"/>
            <w:gridSpan w:val="2"/>
            <w:hideMark/>
          </w:tcPr>
          <w:p w14:paraId="4D74F0F1"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561AB299" w14:textId="77777777" w:rsidTr="00E35844">
        <w:trPr>
          <w:trHeight w:val="600"/>
        </w:trPr>
        <w:tc>
          <w:tcPr>
            <w:tcW w:w="1312" w:type="dxa"/>
            <w:hideMark/>
          </w:tcPr>
          <w:p w14:paraId="7470B171" w14:textId="464AD144" w:rsidR="00E35844" w:rsidRPr="00B47F53" w:rsidRDefault="00E35844" w:rsidP="00E35844">
            <w:pPr>
              <w:rPr>
                <w:rFonts w:ascii="Times New Roman" w:hAnsi="Times New Roman" w:cs="Times New Roman"/>
                <w:sz w:val="20"/>
                <w:szCs w:val="20"/>
              </w:rPr>
            </w:pPr>
            <w:r w:rsidRPr="0026289E">
              <w:t>22</w:t>
            </w:r>
          </w:p>
        </w:tc>
        <w:tc>
          <w:tcPr>
            <w:tcW w:w="5989" w:type="dxa"/>
            <w:hideMark/>
          </w:tcPr>
          <w:p w14:paraId="2254210E"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of which: significant investments in the common stock of financials</w:t>
            </w:r>
          </w:p>
        </w:tc>
        <w:tc>
          <w:tcPr>
            <w:tcW w:w="1715" w:type="dxa"/>
            <w:gridSpan w:val="2"/>
            <w:hideMark/>
          </w:tcPr>
          <w:p w14:paraId="1084EA3C"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0A5A4287" w14:textId="77777777" w:rsidTr="00E35844">
        <w:trPr>
          <w:trHeight w:val="600"/>
        </w:trPr>
        <w:tc>
          <w:tcPr>
            <w:tcW w:w="1312" w:type="dxa"/>
            <w:hideMark/>
          </w:tcPr>
          <w:p w14:paraId="59427744" w14:textId="398BC6BB" w:rsidR="00E35844" w:rsidRPr="00B47F53" w:rsidRDefault="00E35844" w:rsidP="00E35844">
            <w:pPr>
              <w:rPr>
                <w:rFonts w:ascii="Times New Roman" w:hAnsi="Times New Roman" w:cs="Times New Roman"/>
                <w:sz w:val="20"/>
                <w:szCs w:val="20"/>
              </w:rPr>
            </w:pPr>
            <w:r w:rsidRPr="0026289E">
              <w:t>23</w:t>
            </w:r>
          </w:p>
        </w:tc>
        <w:tc>
          <w:tcPr>
            <w:tcW w:w="5989" w:type="dxa"/>
            <w:hideMark/>
          </w:tcPr>
          <w:p w14:paraId="65E643D1"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of which: mortgage servicing rights</w:t>
            </w:r>
          </w:p>
        </w:tc>
        <w:tc>
          <w:tcPr>
            <w:tcW w:w="1715" w:type="dxa"/>
            <w:gridSpan w:val="2"/>
            <w:hideMark/>
          </w:tcPr>
          <w:p w14:paraId="4DC49A24"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0E2A7F45" w14:textId="77777777" w:rsidTr="00E35844">
        <w:trPr>
          <w:trHeight w:val="600"/>
        </w:trPr>
        <w:tc>
          <w:tcPr>
            <w:tcW w:w="1312" w:type="dxa"/>
            <w:hideMark/>
          </w:tcPr>
          <w:p w14:paraId="43B6FAA7" w14:textId="21C83099" w:rsidR="00E35844" w:rsidRPr="00B47F53" w:rsidRDefault="00E35844" w:rsidP="00E35844">
            <w:pPr>
              <w:rPr>
                <w:rFonts w:ascii="Times New Roman" w:hAnsi="Times New Roman" w:cs="Times New Roman"/>
                <w:sz w:val="20"/>
                <w:szCs w:val="20"/>
              </w:rPr>
            </w:pPr>
            <w:r w:rsidRPr="0026289E">
              <w:t>24</w:t>
            </w:r>
          </w:p>
        </w:tc>
        <w:tc>
          <w:tcPr>
            <w:tcW w:w="5989" w:type="dxa"/>
            <w:hideMark/>
          </w:tcPr>
          <w:p w14:paraId="5DBAA8B1"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of which: deferred tax assets arising from temporary differences</w:t>
            </w:r>
          </w:p>
        </w:tc>
        <w:tc>
          <w:tcPr>
            <w:tcW w:w="1715" w:type="dxa"/>
            <w:gridSpan w:val="2"/>
            <w:hideMark/>
          </w:tcPr>
          <w:p w14:paraId="5CE667D7"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5E03C2B5" w14:textId="77777777" w:rsidTr="00E35844">
        <w:trPr>
          <w:trHeight w:val="600"/>
        </w:trPr>
        <w:tc>
          <w:tcPr>
            <w:tcW w:w="1312" w:type="dxa"/>
            <w:hideMark/>
          </w:tcPr>
          <w:p w14:paraId="0F613D95" w14:textId="65D9F7B6" w:rsidR="00E35844" w:rsidRPr="00B47F53" w:rsidRDefault="00E35844" w:rsidP="00E35844">
            <w:pPr>
              <w:rPr>
                <w:rFonts w:ascii="Times New Roman" w:hAnsi="Times New Roman" w:cs="Times New Roman"/>
                <w:sz w:val="20"/>
                <w:szCs w:val="20"/>
              </w:rPr>
            </w:pPr>
            <w:r w:rsidRPr="0026289E">
              <w:t>25</w:t>
            </w:r>
          </w:p>
        </w:tc>
        <w:tc>
          <w:tcPr>
            <w:tcW w:w="5989" w:type="dxa"/>
            <w:hideMark/>
          </w:tcPr>
          <w:p w14:paraId="2084237F"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National specific regulatory adjustments</w:t>
            </w:r>
          </w:p>
        </w:tc>
        <w:tc>
          <w:tcPr>
            <w:tcW w:w="1715" w:type="dxa"/>
            <w:gridSpan w:val="2"/>
            <w:hideMark/>
          </w:tcPr>
          <w:p w14:paraId="0852729E"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61915C5A" w14:textId="77777777" w:rsidTr="00E35844">
        <w:trPr>
          <w:trHeight w:val="600"/>
        </w:trPr>
        <w:tc>
          <w:tcPr>
            <w:tcW w:w="1312" w:type="dxa"/>
            <w:hideMark/>
          </w:tcPr>
          <w:p w14:paraId="51517325" w14:textId="1A58551E" w:rsidR="00E35844" w:rsidRPr="00B47F53" w:rsidRDefault="00E35844" w:rsidP="00E35844">
            <w:pPr>
              <w:rPr>
                <w:rFonts w:ascii="Times New Roman" w:hAnsi="Times New Roman" w:cs="Times New Roman"/>
                <w:sz w:val="20"/>
                <w:szCs w:val="20"/>
              </w:rPr>
            </w:pPr>
            <w:r w:rsidRPr="0026289E">
              <w:t>26</w:t>
            </w:r>
          </w:p>
        </w:tc>
        <w:tc>
          <w:tcPr>
            <w:tcW w:w="5989" w:type="dxa"/>
            <w:hideMark/>
          </w:tcPr>
          <w:p w14:paraId="3CBB20AB"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Regulatory adjustments applied to Common Equity Tier I due to insufficient Additional Tier I and Tier II to cover deductions</w:t>
            </w:r>
          </w:p>
        </w:tc>
        <w:tc>
          <w:tcPr>
            <w:tcW w:w="1715" w:type="dxa"/>
            <w:gridSpan w:val="2"/>
            <w:hideMark/>
          </w:tcPr>
          <w:p w14:paraId="71E10BDF"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108523D2" w14:textId="77777777" w:rsidTr="00E35844">
        <w:trPr>
          <w:trHeight w:val="600"/>
        </w:trPr>
        <w:tc>
          <w:tcPr>
            <w:tcW w:w="1312" w:type="dxa"/>
            <w:shd w:val="clear" w:color="auto" w:fill="92D050"/>
            <w:hideMark/>
          </w:tcPr>
          <w:p w14:paraId="2090C9BB" w14:textId="510442F9" w:rsidR="00E35844" w:rsidRPr="00B47F53" w:rsidRDefault="00E35844" w:rsidP="00E35844">
            <w:pPr>
              <w:rPr>
                <w:rFonts w:ascii="Times New Roman" w:hAnsi="Times New Roman" w:cs="Times New Roman"/>
                <w:sz w:val="20"/>
                <w:szCs w:val="20"/>
              </w:rPr>
            </w:pPr>
            <w:r w:rsidRPr="0026289E">
              <w:t>27</w:t>
            </w:r>
          </w:p>
        </w:tc>
        <w:tc>
          <w:tcPr>
            <w:tcW w:w="5989" w:type="dxa"/>
            <w:shd w:val="clear" w:color="auto" w:fill="92D050"/>
            <w:hideMark/>
          </w:tcPr>
          <w:p w14:paraId="6D97C706" w14:textId="77777777" w:rsidR="00E35844" w:rsidRPr="00B47F53" w:rsidRDefault="00E35844" w:rsidP="00E35844">
            <w:pPr>
              <w:rPr>
                <w:rFonts w:ascii="Times New Roman" w:hAnsi="Times New Roman" w:cs="Times New Roman"/>
                <w:b/>
                <w:bCs/>
                <w:sz w:val="20"/>
                <w:szCs w:val="20"/>
              </w:rPr>
            </w:pPr>
            <w:r w:rsidRPr="00B47F53">
              <w:rPr>
                <w:rFonts w:ascii="Times New Roman" w:hAnsi="Times New Roman" w:cs="Times New Roman"/>
                <w:b/>
                <w:bCs/>
                <w:sz w:val="20"/>
                <w:szCs w:val="20"/>
              </w:rPr>
              <w:t>Total regulatory adjustments to Common equity Tier I</w:t>
            </w:r>
          </w:p>
        </w:tc>
        <w:tc>
          <w:tcPr>
            <w:tcW w:w="1715" w:type="dxa"/>
            <w:gridSpan w:val="2"/>
            <w:shd w:val="clear" w:color="auto" w:fill="92D050"/>
            <w:hideMark/>
          </w:tcPr>
          <w:p w14:paraId="72BB24F1" w14:textId="3D739D41" w:rsidR="00E35844" w:rsidRPr="00B47F53" w:rsidRDefault="00E35844" w:rsidP="00E35844">
            <w:pPr>
              <w:jc w:val="right"/>
              <w:rPr>
                <w:rFonts w:ascii="Times New Roman" w:hAnsi="Times New Roman" w:cs="Times New Roman"/>
                <w:b/>
                <w:bCs/>
                <w:sz w:val="20"/>
                <w:szCs w:val="20"/>
              </w:rPr>
            </w:pPr>
            <w:r w:rsidRPr="00B47F53">
              <w:rPr>
                <w:rFonts w:ascii="Times New Roman" w:hAnsi="Times New Roman" w:cs="Times New Roman"/>
                <w:b/>
                <w:bCs/>
                <w:sz w:val="20"/>
                <w:szCs w:val="20"/>
              </w:rPr>
              <w:t>(</w:t>
            </w:r>
            <w:r w:rsidR="009C068F" w:rsidRPr="009C068F">
              <w:rPr>
                <w:rFonts w:ascii="Times New Roman" w:hAnsi="Times New Roman" w:cs="Times New Roman"/>
                <w:b/>
                <w:bCs/>
                <w:sz w:val="20"/>
                <w:szCs w:val="20"/>
              </w:rPr>
              <w:t>4,845</w:t>
            </w:r>
            <w:r w:rsidR="00134E8D">
              <w:rPr>
                <w:rFonts w:ascii="Times New Roman" w:hAnsi="Times New Roman" w:cs="Times New Roman"/>
                <w:b/>
                <w:bCs/>
                <w:sz w:val="20"/>
                <w:szCs w:val="20"/>
              </w:rPr>
              <w:t>)</w:t>
            </w:r>
          </w:p>
        </w:tc>
      </w:tr>
      <w:tr w:rsidR="00E35844" w:rsidRPr="00B47F53" w14:paraId="172669D6" w14:textId="77777777" w:rsidTr="00E35844">
        <w:trPr>
          <w:trHeight w:val="600"/>
        </w:trPr>
        <w:tc>
          <w:tcPr>
            <w:tcW w:w="1312" w:type="dxa"/>
            <w:shd w:val="clear" w:color="auto" w:fill="92D050"/>
            <w:hideMark/>
          </w:tcPr>
          <w:p w14:paraId="5EBBE2EA" w14:textId="70F22300" w:rsidR="00E35844" w:rsidRPr="00B47F53" w:rsidRDefault="00E35844" w:rsidP="00E35844">
            <w:pPr>
              <w:rPr>
                <w:rFonts w:ascii="Times New Roman" w:hAnsi="Times New Roman" w:cs="Times New Roman"/>
                <w:sz w:val="20"/>
                <w:szCs w:val="20"/>
              </w:rPr>
            </w:pPr>
            <w:r w:rsidRPr="0026289E">
              <w:t>28</w:t>
            </w:r>
          </w:p>
        </w:tc>
        <w:tc>
          <w:tcPr>
            <w:tcW w:w="5989" w:type="dxa"/>
            <w:shd w:val="clear" w:color="auto" w:fill="92D050"/>
            <w:hideMark/>
          </w:tcPr>
          <w:p w14:paraId="68FD0A9D" w14:textId="77777777" w:rsidR="00E35844" w:rsidRPr="00B47F53" w:rsidRDefault="00E35844" w:rsidP="00E35844">
            <w:pPr>
              <w:rPr>
                <w:rFonts w:ascii="Times New Roman" w:hAnsi="Times New Roman" w:cs="Times New Roman"/>
                <w:b/>
                <w:bCs/>
                <w:sz w:val="20"/>
                <w:szCs w:val="20"/>
              </w:rPr>
            </w:pPr>
            <w:r w:rsidRPr="00B47F53">
              <w:rPr>
                <w:rFonts w:ascii="Times New Roman" w:hAnsi="Times New Roman" w:cs="Times New Roman"/>
                <w:b/>
                <w:bCs/>
                <w:sz w:val="20"/>
                <w:szCs w:val="20"/>
              </w:rPr>
              <w:t>Common Equity Tier I capital (CET1 CAPITAL)</w:t>
            </w:r>
          </w:p>
        </w:tc>
        <w:tc>
          <w:tcPr>
            <w:tcW w:w="1715" w:type="dxa"/>
            <w:gridSpan w:val="2"/>
            <w:shd w:val="clear" w:color="auto" w:fill="92D050"/>
            <w:hideMark/>
          </w:tcPr>
          <w:p w14:paraId="4E8D208C" w14:textId="1764A819" w:rsidR="00E35844" w:rsidRPr="00B47F53" w:rsidRDefault="009C068F" w:rsidP="00E35844">
            <w:pPr>
              <w:jc w:val="right"/>
              <w:rPr>
                <w:rFonts w:ascii="Times New Roman" w:hAnsi="Times New Roman" w:cs="Times New Roman"/>
                <w:b/>
                <w:bCs/>
                <w:sz w:val="20"/>
                <w:szCs w:val="20"/>
              </w:rPr>
            </w:pPr>
            <w:r>
              <w:rPr>
                <w:rFonts w:ascii="Times New Roman" w:hAnsi="Times New Roman" w:cs="Times New Roman"/>
                <w:b/>
                <w:bCs/>
                <w:sz w:val="20"/>
                <w:szCs w:val="20"/>
              </w:rPr>
              <w:t xml:space="preserve">               </w:t>
            </w:r>
            <w:r w:rsidRPr="009C068F">
              <w:rPr>
                <w:rFonts w:ascii="Times New Roman" w:hAnsi="Times New Roman" w:cs="Times New Roman"/>
                <w:b/>
                <w:bCs/>
                <w:sz w:val="20"/>
                <w:szCs w:val="20"/>
              </w:rPr>
              <w:t>402,912</w:t>
            </w:r>
            <w:r w:rsidRPr="009C068F">
              <w:rPr>
                <w:rFonts w:ascii="Times New Roman" w:hAnsi="Times New Roman" w:cs="Times New Roman"/>
                <w:b/>
                <w:bCs/>
                <w:sz w:val="20"/>
                <w:szCs w:val="20"/>
              </w:rPr>
              <w:tab/>
            </w:r>
          </w:p>
        </w:tc>
      </w:tr>
      <w:tr w:rsidR="00E35844" w:rsidRPr="00B47F53" w14:paraId="76739D54" w14:textId="77777777" w:rsidTr="00E35844">
        <w:trPr>
          <w:trHeight w:val="600"/>
        </w:trPr>
        <w:tc>
          <w:tcPr>
            <w:tcW w:w="1312" w:type="dxa"/>
            <w:shd w:val="clear" w:color="auto" w:fill="92D050"/>
            <w:hideMark/>
          </w:tcPr>
          <w:p w14:paraId="37B6FB74" w14:textId="671C0D2D" w:rsidR="00E35844" w:rsidRPr="00B47F53" w:rsidRDefault="00E35844" w:rsidP="00E35844">
            <w:pPr>
              <w:rPr>
                <w:rFonts w:ascii="Times New Roman" w:hAnsi="Times New Roman" w:cs="Times New Roman"/>
                <w:sz w:val="20"/>
                <w:szCs w:val="20"/>
              </w:rPr>
            </w:pPr>
            <w:r w:rsidRPr="0026289E">
              <w:t>29</w:t>
            </w:r>
          </w:p>
        </w:tc>
        <w:tc>
          <w:tcPr>
            <w:tcW w:w="5989" w:type="dxa"/>
            <w:shd w:val="clear" w:color="auto" w:fill="92D050"/>
            <w:hideMark/>
          </w:tcPr>
          <w:p w14:paraId="01D95A46" w14:textId="77777777" w:rsidR="00E35844" w:rsidRPr="00B47F53" w:rsidRDefault="00E35844" w:rsidP="00E35844">
            <w:pPr>
              <w:rPr>
                <w:rFonts w:ascii="Times New Roman" w:hAnsi="Times New Roman" w:cs="Times New Roman"/>
                <w:b/>
                <w:bCs/>
                <w:sz w:val="20"/>
                <w:szCs w:val="20"/>
              </w:rPr>
            </w:pPr>
            <w:r w:rsidRPr="00B47F53">
              <w:rPr>
                <w:rFonts w:ascii="Times New Roman" w:hAnsi="Times New Roman" w:cs="Times New Roman"/>
                <w:b/>
                <w:bCs/>
                <w:sz w:val="20"/>
                <w:szCs w:val="20"/>
              </w:rPr>
              <w:t xml:space="preserve">Additional Tier I capital: instruments </w:t>
            </w:r>
          </w:p>
        </w:tc>
        <w:tc>
          <w:tcPr>
            <w:tcW w:w="1715" w:type="dxa"/>
            <w:gridSpan w:val="2"/>
            <w:shd w:val="clear" w:color="auto" w:fill="92D050"/>
            <w:hideMark/>
          </w:tcPr>
          <w:p w14:paraId="0A68EDB3" w14:textId="77777777" w:rsidR="00E35844" w:rsidRPr="00B47F53" w:rsidRDefault="00E35844" w:rsidP="00E35844">
            <w:pPr>
              <w:jc w:val="right"/>
              <w:rPr>
                <w:rFonts w:ascii="Times New Roman" w:hAnsi="Times New Roman" w:cs="Times New Roman"/>
                <w:b/>
                <w:bCs/>
                <w:sz w:val="20"/>
                <w:szCs w:val="20"/>
              </w:rPr>
            </w:pPr>
            <w:r w:rsidRPr="00B47F53">
              <w:rPr>
                <w:rFonts w:ascii="Times New Roman" w:hAnsi="Times New Roman" w:cs="Times New Roman"/>
                <w:b/>
                <w:bCs/>
                <w:sz w:val="20"/>
                <w:szCs w:val="20"/>
              </w:rPr>
              <w:t> </w:t>
            </w:r>
          </w:p>
        </w:tc>
      </w:tr>
      <w:tr w:rsidR="00E35844" w:rsidRPr="00B47F53" w14:paraId="399B189C" w14:textId="77777777" w:rsidTr="00E35844">
        <w:trPr>
          <w:trHeight w:val="600"/>
        </w:trPr>
        <w:tc>
          <w:tcPr>
            <w:tcW w:w="1312" w:type="dxa"/>
            <w:hideMark/>
          </w:tcPr>
          <w:p w14:paraId="4C67A447" w14:textId="4FEE87F9" w:rsidR="00E35844" w:rsidRPr="00B47F53" w:rsidRDefault="00E35844" w:rsidP="00E35844">
            <w:pPr>
              <w:rPr>
                <w:rFonts w:ascii="Times New Roman" w:hAnsi="Times New Roman" w:cs="Times New Roman"/>
                <w:sz w:val="20"/>
                <w:szCs w:val="20"/>
              </w:rPr>
            </w:pPr>
          </w:p>
        </w:tc>
        <w:tc>
          <w:tcPr>
            <w:tcW w:w="5989" w:type="dxa"/>
            <w:hideMark/>
          </w:tcPr>
          <w:p w14:paraId="3F1623C4"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Directly issued qualifying Additional Tier I instruments plus related stock surplus</w:t>
            </w:r>
          </w:p>
        </w:tc>
        <w:tc>
          <w:tcPr>
            <w:tcW w:w="1715" w:type="dxa"/>
            <w:gridSpan w:val="2"/>
            <w:hideMark/>
          </w:tcPr>
          <w:p w14:paraId="4F66E63A" w14:textId="77777777" w:rsidR="00E35844" w:rsidRPr="00B47F53" w:rsidRDefault="00E35844" w:rsidP="00E35844">
            <w:pPr>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5E160671" w14:textId="77777777" w:rsidTr="00E35844">
        <w:trPr>
          <w:trHeight w:val="600"/>
        </w:trPr>
        <w:tc>
          <w:tcPr>
            <w:tcW w:w="1312" w:type="dxa"/>
            <w:hideMark/>
          </w:tcPr>
          <w:p w14:paraId="0E0BF4D6" w14:textId="3B132590" w:rsidR="00E35844" w:rsidRPr="00B47F53" w:rsidRDefault="00E35844" w:rsidP="00E35844">
            <w:pPr>
              <w:rPr>
                <w:rFonts w:ascii="Times New Roman" w:hAnsi="Times New Roman" w:cs="Times New Roman"/>
                <w:sz w:val="20"/>
                <w:szCs w:val="20"/>
              </w:rPr>
            </w:pPr>
            <w:r w:rsidRPr="0026289E">
              <w:t>30</w:t>
            </w:r>
          </w:p>
        </w:tc>
        <w:tc>
          <w:tcPr>
            <w:tcW w:w="5989" w:type="dxa"/>
            <w:hideMark/>
          </w:tcPr>
          <w:p w14:paraId="7BBC7940"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of which: classified as equity under applicable accounting standards</w:t>
            </w:r>
          </w:p>
        </w:tc>
        <w:tc>
          <w:tcPr>
            <w:tcW w:w="1715" w:type="dxa"/>
            <w:gridSpan w:val="2"/>
            <w:hideMark/>
          </w:tcPr>
          <w:p w14:paraId="08847F58" w14:textId="77777777" w:rsidR="00E35844" w:rsidRPr="00B47F53" w:rsidRDefault="00E35844" w:rsidP="00E35844">
            <w:pPr>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04276FC6" w14:textId="77777777" w:rsidTr="00E35844">
        <w:trPr>
          <w:trHeight w:val="600"/>
        </w:trPr>
        <w:tc>
          <w:tcPr>
            <w:tcW w:w="1312" w:type="dxa"/>
            <w:hideMark/>
          </w:tcPr>
          <w:p w14:paraId="0E021517" w14:textId="30396440" w:rsidR="00E35844" w:rsidRPr="00B47F53" w:rsidRDefault="00E35844" w:rsidP="00E35844">
            <w:pPr>
              <w:rPr>
                <w:rFonts w:ascii="Times New Roman" w:hAnsi="Times New Roman" w:cs="Times New Roman"/>
                <w:sz w:val="20"/>
                <w:szCs w:val="20"/>
              </w:rPr>
            </w:pPr>
            <w:r w:rsidRPr="0026289E">
              <w:t>31</w:t>
            </w:r>
          </w:p>
        </w:tc>
        <w:tc>
          <w:tcPr>
            <w:tcW w:w="5989" w:type="dxa"/>
            <w:hideMark/>
          </w:tcPr>
          <w:p w14:paraId="00EFC663"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of which: classified as liabilities under applicable accounting standards</w:t>
            </w:r>
          </w:p>
        </w:tc>
        <w:tc>
          <w:tcPr>
            <w:tcW w:w="1715" w:type="dxa"/>
            <w:gridSpan w:val="2"/>
            <w:hideMark/>
          </w:tcPr>
          <w:p w14:paraId="099A6BD5" w14:textId="77777777" w:rsidR="00E35844" w:rsidRPr="00B47F53" w:rsidRDefault="00E35844" w:rsidP="00E35844">
            <w:pPr>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753D691F" w14:textId="77777777" w:rsidTr="00E35844">
        <w:trPr>
          <w:trHeight w:val="600"/>
        </w:trPr>
        <w:tc>
          <w:tcPr>
            <w:tcW w:w="1312" w:type="dxa"/>
            <w:hideMark/>
          </w:tcPr>
          <w:p w14:paraId="77F7B00B" w14:textId="1B9C5AAA" w:rsidR="00E35844" w:rsidRPr="00B47F53" w:rsidRDefault="00E35844" w:rsidP="00E35844">
            <w:pPr>
              <w:rPr>
                <w:rFonts w:ascii="Times New Roman" w:hAnsi="Times New Roman" w:cs="Times New Roman"/>
                <w:sz w:val="20"/>
                <w:szCs w:val="20"/>
              </w:rPr>
            </w:pPr>
            <w:r w:rsidRPr="0026289E">
              <w:t>32</w:t>
            </w:r>
          </w:p>
        </w:tc>
        <w:tc>
          <w:tcPr>
            <w:tcW w:w="5989" w:type="dxa"/>
            <w:hideMark/>
          </w:tcPr>
          <w:p w14:paraId="74298586" w14:textId="77777777" w:rsidR="00E35844" w:rsidRPr="00B47F53" w:rsidRDefault="00E35844" w:rsidP="00E35844">
            <w:pPr>
              <w:rPr>
                <w:rFonts w:ascii="Times New Roman" w:hAnsi="Times New Roman" w:cs="Times New Roman"/>
                <w:i/>
                <w:iCs/>
                <w:sz w:val="20"/>
                <w:szCs w:val="20"/>
              </w:rPr>
            </w:pPr>
            <w:r w:rsidRPr="00B47F53">
              <w:rPr>
                <w:rFonts w:ascii="Times New Roman" w:hAnsi="Times New Roman" w:cs="Times New Roman"/>
                <w:i/>
                <w:iCs/>
                <w:sz w:val="20"/>
                <w:szCs w:val="20"/>
              </w:rPr>
              <w:t>Directly issued capital instruments subject to phase out from Additional Tier I</w:t>
            </w:r>
          </w:p>
        </w:tc>
        <w:tc>
          <w:tcPr>
            <w:tcW w:w="1715" w:type="dxa"/>
            <w:gridSpan w:val="2"/>
            <w:hideMark/>
          </w:tcPr>
          <w:p w14:paraId="77F46115"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65AF16AE" w14:textId="77777777" w:rsidTr="00E35844">
        <w:trPr>
          <w:trHeight w:val="600"/>
        </w:trPr>
        <w:tc>
          <w:tcPr>
            <w:tcW w:w="1312" w:type="dxa"/>
            <w:hideMark/>
          </w:tcPr>
          <w:p w14:paraId="4FF6CC43" w14:textId="6643E20B" w:rsidR="00E35844" w:rsidRPr="00B47F53" w:rsidRDefault="00E35844" w:rsidP="00E35844">
            <w:pPr>
              <w:rPr>
                <w:rFonts w:ascii="Times New Roman" w:hAnsi="Times New Roman" w:cs="Times New Roman"/>
                <w:sz w:val="20"/>
                <w:szCs w:val="20"/>
              </w:rPr>
            </w:pPr>
            <w:r w:rsidRPr="0026289E">
              <w:lastRenderedPageBreak/>
              <w:t>33</w:t>
            </w:r>
          </w:p>
        </w:tc>
        <w:tc>
          <w:tcPr>
            <w:tcW w:w="5989" w:type="dxa"/>
            <w:hideMark/>
          </w:tcPr>
          <w:p w14:paraId="4A0705E0"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Additional Tier I instruments (and CET1 CAPITAL instruments not included in row 5) issued by subsidiaries and held by third parties (amount allowed in group AT1)</w:t>
            </w:r>
          </w:p>
        </w:tc>
        <w:tc>
          <w:tcPr>
            <w:tcW w:w="1715" w:type="dxa"/>
            <w:gridSpan w:val="2"/>
            <w:hideMark/>
          </w:tcPr>
          <w:p w14:paraId="0A792C8F"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60B6787A" w14:textId="77777777" w:rsidTr="00E35844">
        <w:trPr>
          <w:trHeight w:val="600"/>
        </w:trPr>
        <w:tc>
          <w:tcPr>
            <w:tcW w:w="1312" w:type="dxa"/>
            <w:hideMark/>
          </w:tcPr>
          <w:p w14:paraId="0905FBEA" w14:textId="1F6E4187" w:rsidR="00E35844" w:rsidRPr="00B47F53" w:rsidRDefault="00E35844" w:rsidP="00E35844">
            <w:pPr>
              <w:rPr>
                <w:rFonts w:ascii="Times New Roman" w:hAnsi="Times New Roman" w:cs="Times New Roman"/>
                <w:sz w:val="20"/>
                <w:szCs w:val="20"/>
              </w:rPr>
            </w:pPr>
            <w:r w:rsidRPr="0026289E">
              <w:t>34</w:t>
            </w:r>
          </w:p>
        </w:tc>
        <w:tc>
          <w:tcPr>
            <w:tcW w:w="5989" w:type="dxa"/>
            <w:hideMark/>
          </w:tcPr>
          <w:p w14:paraId="459DE64C" w14:textId="77777777" w:rsidR="00E35844" w:rsidRPr="00B47F53" w:rsidRDefault="00E35844" w:rsidP="00E35844">
            <w:pPr>
              <w:rPr>
                <w:rFonts w:ascii="Times New Roman" w:hAnsi="Times New Roman" w:cs="Times New Roman"/>
                <w:i/>
                <w:iCs/>
                <w:sz w:val="20"/>
                <w:szCs w:val="20"/>
              </w:rPr>
            </w:pPr>
            <w:r w:rsidRPr="00B47F53">
              <w:rPr>
                <w:rFonts w:ascii="Times New Roman" w:hAnsi="Times New Roman" w:cs="Times New Roman"/>
                <w:i/>
                <w:iCs/>
                <w:sz w:val="20"/>
                <w:szCs w:val="20"/>
              </w:rPr>
              <w:t>of which: instruments issued by subsidiaries subject to phase out</w:t>
            </w:r>
          </w:p>
        </w:tc>
        <w:tc>
          <w:tcPr>
            <w:tcW w:w="1715" w:type="dxa"/>
            <w:gridSpan w:val="2"/>
            <w:hideMark/>
          </w:tcPr>
          <w:p w14:paraId="5598C47B"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7F3C742B" w14:textId="77777777" w:rsidTr="00E35844">
        <w:trPr>
          <w:trHeight w:val="600"/>
        </w:trPr>
        <w:tc>
          <w:tcPr>
            <w:tcW w:w="1312" w:type="dxa"/>
            <w:shd w:val="clear" w:color="auto" w:fill="92D050"/>
            <w:hideMark/>
          </w:tcPr>
          <w:p w14:paraId="5338B956" w14:textId="6BD3E0AB" w:rsidR="00E35844" w:rsidRPr="00B47F53" w:rsidRDefault="00E35844" w:rsidP="00E35844">
            <w:pPr>
              <w:rPr>
                <w:rFonts w:ascii="Times New Roman" w:hAnsi="Times New Roman" w:cs="Times New Roman"/>
                <w:sz w:val="20"/>
                <w:szCs w:val="20"/>
              </w:rPr>
            </w:pPr>
            <w:r w:rsidRPr="0026289E">
              <w:t>35</w:t>
            </w:r>
          </w:p>
        </w:tc>
        <w:tc>
          <w:tcPr>
            <w:tcW w:w="5989" w:type="dxa"/>
            <w:shd w:val="clear" w:color="auto" w:fill="92D050"/>
            <w:hideMark/>
          </w:tcPr>
          <w:p w14:paraId="422AE9FD" w14:textId="77777777" w:rsidR="00E35844" w:rsidRPr="00B47F53" w:rsidRDefault="00E35844" w:rsidP="00E35844">
            <w:pPr>
              <w:rPr>
                <w:rFonts w:ascii="Times New Roman" w:hAnsi="Times New Roman" w:cs="Times New Roman"/>
                <w:b/>
                <w:bCs/>
                <w:sz w:val="20"/>
                <w:szCs w:val="20"/>
              </w:rPr>
            </w:pPr>
            <w:r w:rsidRPr="005B5B8D">
              <w:rPr>
                <w:b/>
                <w:bCs/>
              </w:rPr>
              <w:t>Additional Tier I capital before regulatory adjustments</w:t>
            </w:r>
          </w:p>
        </w:tc>
        <w:tc>
          <w:tcPr>
            <w:tcW w:w="1715" w:type="dxa"/>
            <w:gridSpan w:val="2"/>
            <w:shd w:val="clear" w:color="auto" w:fill="92D050"/>
            <w:hideMark/>
          </w:tcPr>
          <w:p w14:paraId="035F6F46" w14:textId="77777777" w:rsidR="00E35844" w:rsidRPr="00B47F53" w:rsidRDefault="00E35844" w:rsidP="00E35844">
            <w:pPr>
              <w:pStyle w:val="NoSpacing"/>
              <w:jc w:val="right"/>
              <w:rPr>
                <w:rFonts w:ascii="Times New Roman" w:hAnsi="Times New Roman" w:cs="Times New Roman"/>
                <w:b/>
                <w:bCs/>
                <w:sz w:val="20"/>
                <w:szCs w:val="20"/>
              </w:rPr>
            </w:pPr>
            <w:r w:rsidRPr="00B47F53">
              <w:rPr>
                <w:rFonts w:ascii="Times New Roman" w:hAnsi="Times New Roman" w:cs="Times New Roman"/>
                <w:b/>
                <w:bCs/>
                <w:sz w:val="20"/>
                <w:szCs w:val="20"/>
              </w:rPr>
              <w:t xml:space="preserve">                          -   </w:t>
            </w:r>
          </w:p>
        </w:tc>
      </w:tr>
      <w:tr w:rsidR="00E35844" w:rsidRPr="00B47F53" w14:paraId="660F88FD" w14:textId="77777777" w:rsidTr="00B20E1A">
        <w:trPr>
          <w:trHeight w:val="600"/>
        </w:trPr>
        <w:tc>
          <w:tcPr>
            <w:tcW w:w="9016" w:type="dxa"/>
            <w:gridSpan w:val="4"/>
            <w:shd w:val="clear" w:color="auto" w:fill="92D050"/>
            <w:hideMark/>
          </w:tcPr>
          <w:p w14:paraId="4D41881C" w14:textId="22BB820E" w:rsidR="00E35844" w:rsidRPr="00B47F53" w:rsidRDefault="0063059E" w:rsidP="00E35844">
            <w:pPr>
              <w:rPr>
                <w:rFonts w:ascii="Times New Roman" w:hAnsi="Times New Roman" w:cs="Times New Roman"/>
                <w:sz w:val="20"/>
                <w:szCs w:val="20"/>
              </w:rPr>
            </w:pPr>
            <w:r w:rsidRPr="0063059E">
              <w:rPr>
                <w:b/>
                <w:bCs/>
              </w:rPr>
              <w:t>Additional Tier I capital: regulatory adjustments</w:t>
            </w:r>
          </w:p>
        </w:tc>
      </w:tr>
      <w:tr w:rsidR="00E35844" w:rsidRPr="00B47F53" w14:paraId="346DA956" w14:textId="77777777" w:rsidTr="00E35844">
        <w:trPr>
          <w:trHeight w:val="600"/>
        </w:trPr>
        <w:tc>
          <w:tcPr>
            <w:tcW w:w="1312" w:type="dxa"/>
            <w:hideMark/>
          </w:tcPr>
          <w:p w14:paraId="7D07448C" w14:textId="70EABE04" w:rsidR="00E35844" w:rsidRPr="00B47F53" w:rsidRDefault="00E92DF0" w:rsidP="00E35844">
            <w:pPr>
              <w:rPr>
                <w:rFonts w:ascii="Times New Roman" w:hAnsi="Times New Roman" w:cs="Times New Roman"/>
                <w:sz w:val="20"/>
                <w:szCs w:val="20"/>
              </w:rPr>
            </w:pPr>
            <w:r>
              <w:rPr>
                <w:rFonts w:ascii="Times New Roman" w:hAnsi="Times New Roman" w:cs="Times New Roman"/>
                <w:sz w:val="20"/>
                <w:szCs w:val="20"/>
              </w:rPr>
              <w:t>36</w:t>
            </w:r>
          </w:p>
        </w:tc>
        <w:tc>
          <w:tcPr>
            <w:tcW w:w="5989" w:type="dxa"/>
            <w:hideMark/>
          </w:tcPr>
          <w:p w14:paraId="1ADDAB9E"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Investments in own Additional Tier I instruments</w:t>
            </w:r>
          </w:p>
        </w:tc>
        <w:tc>
          <w:tcPr>
            <w:tcW w:w="1715" w:type="dxa"/>
            <w:gridSpan w:val="2"/>
            <w:hideMark/>
          </w:tcPr>
          <w:p w14:paraId="450D9082"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47B79C6D" w14:textId="77777777" w:rsidTr="00E35844">
        <w:trPr>
          <w:trHeight w:val="600"/>
        </w:trPr>
        <w:tc>
          <w:tcPr>
            <w:tcW w:w="1312" w:type="dxa"/>
            <w:hideMark/>
          </w:tcPr>
          <w:p w14:paraId="6E062779" w14:textId="6124C22F" w:rsidR="00E35844" w:rsidRPr="00B47F53" w:rsidRDefault="00E35844" w:rsidP="00E35844">
            <w:pPr>
              <w:rPr>
                <w:rFonts w:ascii="Times New Roman" w:hAnsi="Times New Roman" w:cs="Times New Roman"/>
                <w:sz w:val="20"/>
                <w:szCs w:val="20"/>
              </w:rPr>
            </w:pPr>
            <w:r w:rsidRPr="0026289E">
              <w:t>37</w:t>
            </w:r>
          </w:p>
        </w:tc>
        <w:tc>
          <w:tcPr>
            <w:tcW w:w="5989" w:type="dxa"/>
            <w:hideMark/>
          </w:tcPr>
          <w:p w14:paraId="7D2547FC"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Reciprocal cross-holdings in Additional Tier I instruments</w:t>
            </w:r>
          </w:p>
        </w:tc>
        <w:tc>
          <w:tcPr>
            <w:tcW w:w="1715" w:type="dxa"/>
            <w:gridSpan w:val="2"/>
            <w:hideMark/>
          </w:tcPr>
          <w:p w14:paraId="1A4798A4"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604B73C6" w14:textId="77777777" w:rsidTr="00E35844">
        <w:trPr>
          <w:trHeight w:val="600"/>
        </w:trPr>
        <w:tc>
          <w:tcPr>
            <w:tcW w:w="1312" w:type="dxa"/>
            <w:hideMark/>
          </w:tcPr>
          <w:p w14:paraId="69F8DB0F" w14:textId="10575AA5" w:rsidR="00E35844" w:rsidRPr="00B47F53" w:rsidRDefault="00E35844" w:rsidP="00E35844">
            <w:pPr>
              <w:rPr>
                <w:rFonts w:ascii="Times New Roman" w:hAnsi="Times New Roman" w:cs="Times New Roman"/>
                <w:sz w:val="20"/>
                <w:szCs w:val="20"/>
              </w:rPr>
            </w:pPr>
            <w:r w:rsidRPr="0026289E">
              <w:t>38</w:t>
            </w:r>
          </w:p>
        </w:tc>
        <w:tc>
          <w:tcPr>
            <w:tcW w:w="5989" w:type="dxa"/>
            <w:hideMark/>
          </w:tcPr>
          <w:p w14:paraId="0AF8CA02"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Investments in the capital of banking, financial and insurance entities that are outside the scope of regulatory consolidation, net of eligible short positions, where the bank does not own more than 10% of the issued common share capital of the entity (amount above 10% threshold)</w:t>
            </w:r>
          </w:p>
        </w:tc>
        <w:tc>
          <w:tcPr>
            <w:tcW w:w="1715" w:type="dxa"/>
            <w:gridSpan w:val="2"/>
            <w:hideMark/>
          </w:tcPr>
          <w:p w14:paraId="056A765D"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07C35CFB" w14:textId="77777777" w:rsidTr="00E35844">
        <w:trPr>
          <w:trHeight w:val="600"/>
        </w:trPr>
        <w:tc>
          <w:tcPr>
            <w:tcW w:w="1312" w:type="dxa"/>
            <w:hideMark/>
          </w:tcPr>
          <w:p w14:paraId="49A5504A" w14:textId="7C756E5A" w:rsidR="00E35844" w:rsidRPr="00B47F53" w:rsidRDefault="00E35844" w:rsidP="00E35844">
            <w:pPr>
              <w:rPr>
                <w:rFonts w:ascii="Times New Roman" w:hAnsi="Times New Roman" w:cs="Times New Roman"/>
                <w:sz w:val="20"/>
                <w:szCs w:val="20"/>
              </w:rPr>
            </w:pPr>
            <w:r w:rsidRPr="0026289E">
              <w:t>39</w:t>
            </w:r>
          </w:p>
        </w:tc>
        <w:tc>
          <w:tcPr>
            <w:tcW w:w="5989" w:type="dxa"/>
            <w:hideMark/>
          </w:tcPr>
          <w:p w14:paraId="66060D28"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Significant investments in the capital of banking, financial and insurance entities that are outside the scope of regulatory consolidation (net of eligible short positions)</w:t>
            </w:r>
          </w:p>
        </w:tc>
        <w:tc>
          <w:tcPr>
            <w:tcW w:w="1715" w:type="dxa"/>
            <w:gridSpan w:val="2"/>
            <w:hideMark/>
          </w:tcPr>
          <w:p w14:paraId="1133B56A"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1E93E3E6" w14:textId="77777777" w:rsidTr="00E35844">
        <w:trPr>
          <w:trHeight w:val="600"/>
        </w:trPr>
        <w:tc>
          <w:tcPr>
            <w:tcW w:w="1312" w:type="dxa"/>
            <w:hideMark/>
          </w:tcPr>
          <w:p w14:paraId="6CD2C8DF" w14:textId="5E5ACD55" w:rsidR="00E35844" w:rsidRPr="00B47F53" w:rsidRDefault="00E35844" w:rsidP="00E35844">
            <w:pPr>
              <w:rPr>
                <w:rFonts w:ascii="Times New Roman" w:hAnsi="Times New Roman" w:cs="Times New Roman"/>
                <w:sz w:val="20"/>
                <w:szCs w:val="20"/>
              </w:rPr>
            </w:pPr>
            <w:r w:rsidRPr="0026289E">
              <w:t>40</w:t>
            </w:r>
          </w:p>
        </w:tc>
        <w:tc>
          <w:tcPr>
            <w:tcW w:w="5989" w:type="dxa"/>
            <w:hideMark/>
          </w:tcPr>
          <w:p w14:paraId="6D70FBFC"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National specific regulatory adjustments</w:t>
            </w:r>
          </w:p>
        </w:tc>
        <w:tc>
          <w:tcPr>
            <w:tcW w:w="1715" w:type="dxa"/>
            <w:gridSpan w:val="2"/>
            <w:hideMark/>
          </w:tcPr>
          <w:p w14:paraId="227FDED2"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4EF40303" w14:textId="77777777" w:rsidTr="00E35844">
        <w:trPr>
          <w:trHeight w:val="600"/>
        </w:trPr>
        <w:tc>
          <w:tcPr>
            <w:tcW w:w="1312" w:type="dxa"/>
            <w:hideMark/>
          </w:tcPr>
          <w:p w14:paraId="2A9ABE94" w14:textId="5341A1A9" w:rsidR="00E35844" w:rsidRPr="00B47F53" w:rsidRDefault="00E35844" w:rsidP="00E35844">
            <w:pPr>
              <w:rPr>
                <w:rFonts w:ascii="Times New Roman" w:hAnsi="Times New Roman" w:cs="Times New Roman"/>
                <w:sz w:val="20"/>
                <w:szCs w:val="20"/>
              </w:rPr>
            </w:pPr>
            <w:r w:rsidRPr="0026289E">
              <w:t>41</w:t>
            </w:r>
          </w:p>
        </w:tc>
        <w:tc>
          <w:tcPr>
            <w:tcW w:w="5989" w:type="dxa"/>
            <w:noWrap/>
            <w:hideMark/>
          </w:tcPr>
          <w:p w14:paraId="0D8E0D4F"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Regulatory adjustments applied to Additional Tier I due to insufficient Tier II to cover deductions</w:t>
            </w:r>
          </w:p>
        </w:tc>
        <w:tc>
          <w:tcPr>
            <w:tcW w:w="1715" w:type="dxa"/>
            <w:gridSpan w:val="2"/>
            <w:noWrap/>
            <w:hideMark/>
          </w:tcPr>
          <w:p w14:paraId="1DA14580"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12F462C5" w14:textId="77777777" w:rsidTr="00E35844">
        <w:trPr>
          <w:trHeight w:val="600"/>
        </w:trPr>
        <w:tc>
          <w:tcPr>
            <w:tcW w:w="1312" w:type="dxa"/>
            <w:shd w:val="clear" w:color="auto" w:fill="92D050"/>
            <w:hideMark/>
          </w:tcPr>
          <w:p w14:paraId="022456D2" w14:textId="13123C77" w:rsidR="00E35844" w:rsidRPr="00B47F53" w:rsidRDefault="00E35844" w:rsidP="00E35844">
            <w:pPr>
              <w:rPr>
                <w:rFonts w:ascii="Times New Roman" w:hAnsi="Times New Roman" w:cs="Times New Roman"/>
                <w:sz w:val="20"/>
                <w:szCs w:val="20"/>
              </w:rPr>
            </w:pPr>
            <w:r w:rsidRPr="0026289E">
              <w:t>42</w:t>
            </w:r>
          </w:p>
        </w:tc>
        <w:tc>
          <w:tcPr>
            <w:tcW w:w="5989" w:type="dxa"/>
            <w:shd w:val="clear" w:color="auto" w:fill="92D050"/>
            <w:hideMark/>
          </w:tcPr>
          <w:p w14:paraId="472369C4" w14:textId="77777777" w:rsidR="00E35844" w:rsidRPr="00B47F53" w:rsidRDefault="00E35844" w:rsidP="00E35844">
            <w:pPr>
              <w:rPr>
                <w:rFonts w:ascii="Times New Roman" w:hAnsi="Times New Roman" w:cs="Times New Roman"/>
                <w:b/>
                <w:bCs/>
                <w:sz w:val="20"/>
                <w:szCs w:val="20"/>
              </w:rPr>
            </w:pPr>
            <w:r w:rsidRPr="00B47F53">
              <w:rPr>
                <w:rFonts w:ascii="Times New Roman" w:hAnsi="Times New Roman" w:cs="Times New Roman"/>
                <w:b/>
                <w:bCs/>
                <w:sz w:val="20"/>
                <w:szCs w:val="20"/>
              </w:rPr>
              <w:t>Total regulatory adjustments to Additional Tier I capital</w:t>
            </w:r>
          </w:p>
        </w:tc>
        <w:tc>
          <w:tcPr>
            <w:tcW w:w="1715" w:type="dxa"/>
            <w:gridSpan w:val="2"/>
            <w:shd w:val="clear" w:color="auto" w:fill="92D050"/>
            <w:hideMark/>
          </w:tcPr>
          <w:p w14:paraId="349D55E1" w14:textId="77777777" w:rsidR="00E35844" w:rsidRPr="00B47F53" w:rsidRDefault="00E35844" w:rsidP="00E35844">
            <w:pPr>
              <w:pStyle w:val="NoSpacing"/>
              <w:jc w:val="right"/>
              <w:rPr>
                <w:rFonts w:ascii="Times New Roman" w:hAnsi="Times New Roman" w:cs="Times New Roman"/>
                <w:b/>
                <w:bCs/>
                <w:sz w:val="20"/>
                <w:szCs w:val="20"/>
              </w:rPr>
            </w:pPr>
            <w:r w:rsidRPr="00B47F53">
              <w:rPr>
                <w:rFonts w:ascii="Times New Roman" w:hAnsi="Times New Roman" w:cs="Times New Roman"/>
                <w:b/>
                <w:bCs/>
                <w:sz w:val="20"/>
                <w:szCs w:val="20"/>
              </w:rPr>
              <w:t xml:space="preserve">                          -   </w:t>
            </w:r>
          </w:p>
        </w:tc>
      </w:tr>
      <w:tr w:rsidR="00E35844" w:rsidRPr="00B47F53" w14:paraId="79EDE2AA" w14:textId="77777777" w:rsidTr="00E35844">
        <w:trPr>
          <w:trHeight w:val="600"/>
        </w:trPr>
        <w:tc>
          <w:tcPr>
            <w:tcW w:w="1312" w:type="dxa"/>
            <w:shd w:val="clear" w:color="auto" w:fill="92D050"/>
            <w:hideMark/>
          </w:tcPr>
          <w:p w14:paraId="447DE4BA" w14:textId="31BBCD8A" w:rsidR="00E35844" w:rsidRPr="00B47F53" w:rsidRDefault="00E35844" w:rsidP="00E35844">
            <w:pPr>
              <w:rPr>
                <w:rFonts w:ascii="Times New Roman" w:hAnsi="Times New Roman" w:cs="Times New Roman"/>
                <w:sz w:val="20"/>
                <w:szCs w:val="20"/>
              </w:rPr>
            </w:pPr>
            <w:r w:rsidRPr="0026289E">
              <w:t>43</w:t>
            </w:r>
          </w:p>
        </w:tc>
        <w:tc>
          <w:tcPr>
            <w:tcW w:w="5989" w:type="dxa"/>
            <w:shd w:val="clear" w:color="auto" w:fill="92D050"/>
            <w:hideMark/>
          </w:tcPr>
          <w:p w14:paraId="2CBC8026" w14:textId="77777777" w:rsidR="00E35844" w:rsidRPr="00B47F53" w:rsidRDefault="00E35844" w:rsidP="00E35844">
            <w:pPr>
              <w:rPr>
                <w:rFonts w:ascii="Times New Roman" w:hAnsi="Times New Roman" w:cs="Times New Roman"/>
                <w:b/>
                <w:bCs/>
                <w:sz w:val="20"/>
                <w:szCs w:val="20"/>
              </w:rPr>
            </w:pPr>
            <w:r w:rsidRPr="00B47F53">
              <w:rPr>
                <w:rFonts w:ascii="Times New Roman" w:hAnsi="Times New Roman" w:cs="Times New Roman"/>
                <w:b/>
                <w:bCs/>
                <w:sz w:val="20"/>
                <w:szCs w:val="20"/>
              </w:rPr>
              <w:t>Additional Tier I capital (AT1)</w:t>
            </w:r>
          </w:p>
        </w:tc>
        <w:tc>
          <w:tcPr>
            <w:tcW w:w="1715" w:type="dxa"/>
            <w:gridSpan w:val="2"/>
            <w:shd w:val="clear" w:color="auto" w:fill="92D050"/>
            <w:hideMark/>
          </w:tcPr>
          <w:p w14:paraId="568CFDB5" w14:textId="77777777" w:rsidR="00E35844" w:rsidRPr="00B47F53" w:rsidRDefault="00E35844" w:rsidP="00E35844">
            <w:pPr>
              <w:pStyle w:val="NoSpacing"/>
              <w:jc w:val="right"/>
              <w:rPr>
                <w:rFonts w:ascii="Times New Roman" w:hAnsi="Times New Roman" w:cs="Times New Roman"/>
                <w:b/>
                <w:bCs/>
                <w:sz w:val="20"/>
                <w:szCs w:val="20"/>
              </w:rPr>
            </w:pPr>
            <w:r w:rsidRPr="00B47F53">
              <w:rPr>
                <w:rFonts w:ascii="Times New Roman" w:hAnsi="Times New Roman" w:cs="Times New Roman"/>
                <w:b/>
                <w:bCs/>
                <w:sz w:val="20"/>
                <w:szCs w:val="20"/>
              </w:rPr>
              <w:t> </w:t>
            </w:r>
          </w:p>
        </w:tc>
      </w:tr>
      <w:tr w:rsidR="00E35844" w:rsidRPr="00B47F53" w14:paraId="359CB60D" w14:textId="77777777" w:rsidTr="00E35844">
        <w:trPr>
          <w:trHeight w:val="600"/>
        </w:trPr>
        <w:tc>
          <w:tcPr>
            <w:tcW w:w="1312" w:type="dxa"/>
            <w:shd w:val="clear" w:color="auto" w:fill="92D050"/>
            <w:hideMark/>
          </w:tcPr>
          <w:p w14:paraId="361D92C3" w14:textId="12F86782" w:rsidR="00E35844" w:rsidRPr="00B47F53" w:rsidRDefault="00E35844" w:rsidP="00E35844">
            <w:pPr>
              <w:rPr>
                <w:rFonts w:ascii="Times New Roman" w:hAnsi="Times New Roman" w:cs="Times New Roman"/>
                <w:sz w:val="20"/>
                <w:szCs w:val="20"/>
              </w:rPr>
            </w:pPr>
            <w:r w:rsidRPr="0026289E">
              <w:t>44</w:t>
            </w:r>
          </w:p>
        </w:tc>
        <w:tc>
          <w:tcPr>
            <w:tcW w:w="5989" w:type="dxa"/>
            <w:shd w:val="clear" w:color="auto" w:fill="92D050"/>
            <w:hideMark/>
          </w:tcPr>
          <w:p w14:paraId="2794182F" w14:textId="77777777" w:rsidR="00E35844" w:rsidRPr="004E28B6" w:rsidRDefault="00E35844" w:rsidP="00E35844">
            <w:pPr>
              <w:rPr>
                <w:rFonts w:ascii="Times New Roman" w:hAnsi="Times New Roman" w:cs="Times New Roman"/>
                <w:b/>
                <w:bCs/>
                <w:sz w:val="20"/>
                <w:szCs w:val="20"/>
                <w:lang w:val="fr-FR"/>
              </w:rPr>
            </w:pPr>
            <w:r w:rsidRPr="004E28B6">
              <w:rPr>
                <w:rFonts w:ascii="Times New Roman" w:hAnsi="Times New Roman" w:cs="Times New Roman"/>
                <w:b/>
                <w:bCs/>
                <w:sz w:val="20"/>
                <w:szCs w:val="20"/>
                <w:lang w:val="fr-FR"/>
              </w:rPr>
              <w:t>Tier I capital (T1 = CET1 CAPITAL + AT1)</w:t>
            </w:r>
          </w:p>
        </w:tc>
        <w:tc>
          <w:tcPr>
            <w:tcW w:w="1715" w:type="dxa"/>
            <w:gridSpan w:val="2"/>
            <w:shd w:val="clear" w:color="auto" w:fill="92D050"/>
            <w:hideMark/>
          </w:tcPr>
          <w:p w14:paraId="777098A4" w14:textId="1465BCB2" w:rsidR="00E35844" w:rsidRPr="00B47F53" w:rsidRDefault="009C068F" w:rsidP="00E35844">
            <w:pPr>
              <w:pStyle w:val="NoSpacing"/>
              <w:jc w:val="right"/>
              <w:rPr>
                <w:rFonts w:ascii="Times New Roman" w:hAnsi="Times New Roman" w:cs="Times New Roman"/>
                <w:b/>
                <w:bCs/>
                <w:sz w:val="20"/>
                <w:szCs w:val="20"/>
              </w:rPr>
            </w:pPr>
            <w:r w:rsidRPr="00DB5A96">
              <w:rPr>
                <w:rFonts w:ascii="Times New Roman" w:hAnsi="Times New Roman" w:cs="Times New Roman"/>
                <w:b/>
                <w:bCs/>
                <w:sz w:val="20"/>
                <w:szCs w:val="20"/>
                <w:lang w:val="fr-FR"/>
              </w:rPr>
              <w:t xml:space="preserve">              </w:t>
            </w:r>
            <w:r w:rsidRPr="009C068F">
              <w:rPr>
                <w:rFonts w:ascii="Times New Roman" w:hAnsi="Times New Roman" w:cs="Times New Roman"/>
                <w:b/>
                <w:bCs/>
                <w:sz w:val="20"/>
                <w:szCs w:val="20"/>
              </w:rPr>
              <w:t>402,912</w:t>
            </w:r>
            <w:r w:rsidRPr="009C068F">
              <w:rPr>
                <w:rFonts w:ascii="Times New Roman" w:hAnsi="Times New Roman" w:cs="Times New Roman"/>
                <w:b/>
                <w:bCs/>
                <w:sz w:val="20"/>
                <w:szCs w:val="20"/>
              </w:rPr>
              <w:tab/>
            </w:r>
            <w:r w:rsidR="006759D9" w:rsidRPr="006759D9">
              <w:rPr>
                <w:rFonts w:ascii="Times New Roman" w:hAnsi="Times New Roman" w:cs="Times New Roman"/>
                <w:b/>
                <w:bCs/>
                <w:sz w:val="20"/>
                <w:szCs w:val="20"/>
              </w:rPr>
              <w:tab/>
            </w:r>
          </w:p>
        </w:tc>
      </w:tr>
      <w:tr w:rsidR="00E35844" w:rsidRPr="00B47F53" w14:paraId="36DA207C" w14:textId="77777777" w:rsidTr="00B20E1A">
        <w:trPr>
          <w:trHeight w:val="600"/>
        </w:trPr>
        <w:tc>
          <w:tcPr>
            <w:tcW w:w="9016" w:type="dxa"/>
            <w:gridSpan w:val="4"/>
            <w:shd w:val="clear" w:color="auto" w:fill="92D050"/>
            <w:hideMark/>
          </w:tcPr>
          <w:p w14:paraId="5800EEE8" w14:textId="58CC02C0" w:rsidR="00E35844" w:rsidRPr="005B5B8D" w:rsidRDefault="005B5B8D" w:rsidP="00870A3A">
            <w:pPr>
              <w:jc w:val="center"/>
              <w:rPr>
                <w:rFonts w:ascii="Times New Roman" w:hAnsi="Times New Roman" w:cs="Times New Roman"/>
                <w:b/>
                <w:bCs/>
                <w:sz w:val="20"/>
                <w:szCs w:val="20"/>
              </w:rPr>
            </w:pPr>
            <w:r w:rsidRPr="005B5B8D">
              <w:rPr>
                <w:b/>
                <w:bCs/>
              </w:rPr>
              <w:t>Tier II capital: instruments and provisions</w:t>
            </w:r>
          </w:p>
        </w:tc>
      </w:tr>
      <w:tr w:rsidR="00E35844" w:rsidRPr="00B47F53" w14:paraId="678204E3" w14:textId="77777777" w:rsidTr="00E35844">
        <w:trPr>
          <w:trHeight w:val="600"/>
        </w:trPr>
        <w:tc>
          <w:tcPr>
            <w:tcW w:w="1312" w:type="dxa"/>
            <w:hideMark/>
          </w:tcPr>
          <w:p w14:paraId="691D0598" w14:textId="25926E92" w:rsidR="00E35844" w:rsidRPr="00B47F53" w:rsidRDefault="005B5B8D" w:rsidP="00E35844">
            <w:pPr>
              <w:rPr>
                <w:rFonts w:ascii="Times New Roman" w:hAnsi="Times New Roman" w:cs="Times New Roman"/>
                <w:sz w:val="20"/>
                <w:szCs w:val="20"/>
              </w:rPr>
            </w:pPr>
            <w:r w:rsidRPr="0026289E">
              <w:t>45</w:t>
            </w:r>
          </w:p>
        </w:tc>
        <w:tc>
          <w:tcPr>
            <w:tcW w:w="5989" w:type="dxa"/>
            <w:hideMark/>
          </w:tcPr>
          <w:p w14:paraId="196C7C2D"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Directly issued qualifying Tier II instruments plus related stock surplus</w:t>
            </w:r>
          </w:p>
        </w:tc>
        <w:tc>
          <w:tcPr>
            <w:tcW w:w="1715" w:type="dxa"/>
            <w:gridSpan w:val="2"/>
            <w:hideMark/>
          </w:tcPr>
          <w:p w14:paraId="71E489A9" w14:textId="3630A8FA" w:rsidR="00E35844" w:rsidRPr="00B47F53" w:rsidRDefault="009C068F" w:rsidP="00E35844">
            <w:pPr>
              <w:pStyle w:val="NoSpacing"/>
              <w:jc w:val="right"/>
              <w:rPr>
                <w:rFonts w:ascii="Times New Roman" w:hAnsi="Times New Roman" w:cs="Times New Roman"/>
                <w:sz w:val="20"/>
                <w:szCs w:val="20"/>
              </w:rPr>
            </w:pPr>
            <w:r w:rsidRPr="009C068F">
              <w:rPr>
                <w:rFonts w:ascii="Times New Roman" w:hAnsi="Times New Roman" w:cs="Times New Roman"/>
                <w:sz w:val="20"/>
                <w:szCs w:val="20"/>
              </w:rPr>
              <w:t>183,132</w:t>
            </w:r>
            <w:r w:rsidRPr="009C068F">
              <w:rPr>
                <w:rFonts w:ascii="Times New Roman" w:hAnsi="Times New Roman" w:cs="Times New Roman"/>
                <w:sz w:val="20"/>
                <w:szCs w:val="20"/>
              </w:rPr>
              <w:tab/>
            </w:r>
          </w:p>
        </w:tc>
      </w:tr>
      <w:tr w:rsidR="00E35844" w:rsidRPr="00B47F53" w14:paraId="61D2C790" w14:textId="77777777" w:rsidTr="00E35844">
        <w:trPr>
          <w:trHeight w:val="600"/>
        </w:trPr>
        <w:tc>
          <w:tcPr>
            <w:tcW w:w="1312" w:type="dxa"/>
            <w:hideMark/>
          </w:tcPr>
          <w:p w14:paraId="02027945" w14:textId="0E87E20F" w:rsidR="00E35844" w:rsidRPr="00B47F53" w:rsidRDefault="00E35844" w:rsidP="00E35844">
            <w:pPr>
              <w:rPr>
                <w:rFonts w:ascii="Times New Roman" w:hAnsi="Times New Roman" w:cs="Times New Roman"/>
                <w:sz w:val="20"/>
                <w:szCs w:val="20"/>
              </w:rPr>
            </w:pPr>
            <w:r w:rsidRPr="0026289E">
              <w:t>46</w:t>
            </w:r>
          </w:p>
        </w:tc>
        <w:tc>
          <w:tcPr>
            <w:tcW w:w="5989" w:type="dxa"/>
            <w:hideMark/>
          </w:tcPr>
          <w:p w14:paraId="33F308C2" w14:textId="77777777" w:rsidR="00E35844" w:rsidRPr="00B47F53" w:rsidRDefault="00E35844" w:rsidP="00E35844">
            <w:pPr>
              <w:rPr>
                <w:rFonts w:ascii="Times New Roman" w:hAnsi="Times New Roman" w:cs="Times New Roman"/>
                <w:i/>
                <w:iCs/>
                <w:sz w:val="20"/>
                <w:szCs w:val="20"/>
              </w:rPr>
            </w:pPr>
            <w:r w:rsidRPr="00B47F53">
              <w:rPr>
                <w:rFonts w:ascii="Times New Roman" w:hAnsi="Times New Roman" w:cs="Times New Roman"/>
                <w:i/>
                <w:iCs/>
                <w:sz w:val="20"/>
                <w:szCs w:val="20"/>
              </w:rPr>
              <w:t>Directly issued capital instruments subject to phase out from Tier II</w:t>
            </w:r>
          </w:p>
        </w:tc>
        <w:tc>
          <w:tcPr>
            <w:tcW w:w="1715" w:type="dxa"/>
            <w:gridSpan w:val="2"/>
            <w:hideMark/>
          </w:tcPr>
          <w:p w14:paraId="0DA3D944" w14:textId="77777777" w:rsidR="00E35844" w:rsidRPr="00B47F53" w:rsidRDefault="00E35844" w:rsidP="00E35844">
            <w:pPr>
              <w:pStyle w:val="NoSpacing"/>
              <w:jc w:val="right"/>
              <w:rPr>
                <w:rFonts w:ascii="Times New Roman" w:hAnsi="Times New Roman" w:cs="Times New Roman"/>
                <w:i/>
                <w:iCs/>
                <w:sz w:val="20"/>
                <w:szCs w:val="20"/>
              </w:rPr>
            </w:pPr>
            <w:r w:rsidRPr="00B47F53">
              <w:rPr>
                <w:rFonts w:ascii="Times New Roman" w:hAnsi="Times New Roman" w:cs="Times New Roman"/>
                <w:i/>
                <w:iCs/>
                <w:sz w:val="20"/>
                <w:szCs w:val="20"/>
              </w:rPr>
              <w:t xml:space="preserve">                          -   </w:t>
            </w:r>
          </w:p>
        </w:tc>
      </w:tr>
      <w:tr w:rsidR="00E35844" w:rsidRPr="00B47F53" w14:paraId="4B43660B" w14:textId="77777777" w:rsidTr="00E35844">
        <w:trPr>
          <w:trHeight w:val="600"/>
        </w:trPr>
        <w:tc>
          <w:tcPr>
            <w:tcW w:w="1312" w:type="dxa"/>
            <w:hideMark/>
          </w:tcPr>
          <w:p w14:paraId="6E3ED28D" w14:textId="0028D0DE" w:rsidR="00E35844" w:rsidRPr="00B47F53" w:rsidRDefault="00E35844" w:rsidP="00E35844">
            <w:pPr>
              <w:rPr>
                <w:rFonts w:ascii="Times New Roman" w:hAnsi="Times New Roman" w:cs="Times New Roman"/>
                <w:sz w:val="20"/>
                <w:szCs w:val="20"/>
              </w:rPr>
            </w:pPr>
            <w:r w:rsidRPr="0026289E">
              <w:t>47</w:t>
            </w:r>
          </w:p>
        </w:tc>
        <w:tc>
          <w:tcPr>
            <w:tcW w:w="5989" w:type="dxa"/>
            <w:hideMark/>
          </w:tcPr>
          <w:p w14:paraId="7B2052FF"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Tier II instruments (and CET1 CAPITAL and AT1 instruments not included in rows 5 or 34) issued by subsidiaries and held by third parties (amount allowed in group Tier II)</w:t>
            </w:r>
          </w:p>
        </w:tc>
        <w:tc>
          <w:tcPr>
            <w:tcW w:w="1715" w:type="dxa"/>
            <w:gridSpan w:val="2"/>
            <w:noWrap/>
            <w:hideMark/>
          </w:tcPr>
          <w:p w14:paraId="221CF082"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47845DAF" w14:textId="77777777" w:rsidTr="00E35844">
        <w:trPr>
          <w:trHeight w:val="600"/>
        </w:trPr>
        <w:tc>
          <w:tcPr>
            <w:tcW w:w="1312" w:type="dxa"/>
            <w:hideMark/>
          </w:tcPr>
          <w:p w14:paraId="73AEA463" w14:textId="408BD5A6" w:rsidR="00E35844" w:rsidRPr="00B47F53" w:rsidRDefault="00E35844" w:rsidP="00E35844">
            <w:pPr>
              <w:rPr>
                <w:rFonts w:ascii="Times New Roman" w:hAnsi="Times New Roman" w:cs="Times New Roman"/>
                <w:sz w:val="20"/>
                <w:szCs w:val="20"/>
              </w:rPr>
            </w:pPr>
            <w:r w:rsidRPr="0026289E">
              <w:t>48</w:t>
            </w:r>
          </w:p>
        </w:tc>
        <w:tc>
          <w:tcPr>
            <w:tcW w:w="5989" w:type="dxa"/>
            <w:hideMark/>
          </w:tcPr>
          <w:p w14:paraId="0DE5557E" w14:textId="77777777" w:rsidR="00E35844" w:rsidRPr="00B47F53" w:rsidRDefault="00E35844" w:rsidP="00E35844">
            <w:pPr>
              <w:rPr>
                <w:rFonts w:ascii="Times New Roman" w:hAnsi="Times New Roman" w:cs="Times New Roman"/>
                <w:i/>
                <w:iCs/>
                <w:sz w:val="20"/>
                <w:szCs w:val="20"/>
              </w:rPr>
            </w:pPr>
            <w:r w:rsidRPr="00B47F53">
              <w:rPr>
                <w:rFonts w:ascii="Times New Roman" w:hAnsi="Times New Roman" w:cs="Times New Roman"/>
                <w:i/>
                <w:iCs/>
                <w:sz w:val="20"/>
                <w:szCs w:val="20"/>
              </w:rPr>
              <w:t>of which:  instruments issued by subsidiaries subject to phase out</w:t>
            </w:r>
          </w:p>
        </w:tc>
        <w:tc>
          <w:tcPr>
            <w:tcW w:w="1715" w:type="dxa"/>
            <w:gridSpan w:val="2"/>
            <w:hideMark/>
          </w:tcPr>
          <w:p w14:paraId="320D6910" w14:textId="77777777" w:rsidR="00E35844" w:rsidRPr="00B47F53" w:rsidRDefault="00E35844" w:rsidP="00E35844">
            <w:pPr>
              <w:pStyle w:val="NoSpacing"/>
              <w:jc w:val="right"/>
              <w:rPr>
                <w:rFonts w:ascii="Times New Roman" w:hAnsi="Times New Roman" w:cs="Times New Roman"/>
                <w:i/>
                <w:iCs/>
                <w:sz w:val="20"/>
                <w:szCs w:val="20"/>
              </w:rPr>
            </w:pPr>
            <w:r w:rsidRPr="00B47F53">
              <w:rPr>
                <w:rFonts w:ascii="Times New Roman" w:hAnsi="Times New Roman" w:cs="Times New Roman"/>
                <w:i/>
                <w:iCs/>
                <w:sz w:val="20"/>
                <w:szCs w:val="20"/>
              </w:rPr>
              <w:t xml:space="preserve">                          -   </w:t>
            </w:r>
          </w:p>
        </w:tc>
      </w:tr>
      <w:tr w:rsidR="00E35844" w:rsidRPr="00B47F53" w14:paraId="6FDB6EB8" w14:textId="77777777" w:rsidTr="00E35844">
        <w:trPr>
          <w:trHeight w:val="600"/>
        </w:trPr>
        <w:tc>
          <w:tcPr>
            <w:tcW w:w="1312" w:type="dxa"/>
            <w:hideMark/>
          </w:tcPr>
          <w:p w14:paraId="3C0AD85E" w14:textId="6887B3ED" w:rsidR="00E35844" w:rsidRPr="00B47F53" w:rsidRDefault="00E35844" w:rsidP="00E35844">
            <w:pPr>
              <w:rPr>
                <w:rFonts w:ascii="Times New Roman" w:hAnsi="Times New Roman" w:cs="Times New Roman"/>
                <w:sz w:val="20"/>
                <w:szCs w:val="20"/>
              </w:rPr>
            </w:pPr>
            <w:r w:rsidRPr="0026289E">
              <w:t>49</w:t>
            </w:r>
          </w:p>
        </w:tc>
        <w:tc>
          <w:tcPr>
            <w:tcW w:w="5989" w:type="dxa"/>
            <w:hideMark/>
          </w:tcPr>
          <w:p w14:paraId="071B672B"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Unpublished Current Year's Profits</w:t>
            </w:r>
          </w:p>
        </w:tc>
        <w:tc>
          <w:tcPr>
            <w:tcW w:w="1715" w:type="dxa"/>
            <w:gridSpan w:val="2"/>
            <w:hideMark/>
          </w:tcPr>
          <w:p w14:paraId="41518801" w14:textId="07D8FE23" w:rsidR="00E35844" w:rsidRPr="00B47F53" w:rsidRDefault="009C068F" w:rsidP="00E35844">
            <w:pPr>
              <w:pStyle w:val="NoSpacing"/>
              <w:jc w:val="right"/>
              <w:rPr>
                <w:rFonts w:ascii="Times New Roman" w:hAnsi="Times New Roman" w:cs="Times New Roman"/>
                <w:sz w:val="20"/>
                <w:szCs w:val="20"/>
              </w:rPr>
            </w:pPr>
            <w:r>
              <w:rPr>
                <w:rFonts w:ascii="Times New Roman" w:hAnsi="Times New Roman" w:cs="Times New Roman"/>
                <w:sz w:val="20"/>
                <w:szCs w:val="20"/>
              </w:rPr>
              <w:t xml:space="preserve">   </w:t>
            </w:r>
            <w:r w:rsidRPr="009C068F">
              <w:rPr>
                <w:rFonts w:ascii="Times New Roman" w:hAnsi="Times New Roman" w:cs="Times New Roman"/>
                <w:sz w:val="20"/>
                <w:szCs w:val="20"/>
              </w:rPr>
              <w:t>33,615</w:t>
            </w:r>
            <w:r w:rsidR="00BB6E74" w:rsidRPr="00BB6E74">
              <w:rPr>
                <w:rFonts w:ascii="Times New Roman" w:hAnsi="Times New Roman" w:cs="Times New Roman"/>
                <w:sz w:val="20"/>
                <w:szCs w:val="20"/>
              </w:rPr>
              <w:tab/>
            </w:r>
          </w:p>
        </w:tc>
      </w:tr>
      <w:tr w:rsidR="00E35844" w:rsidRPr="00B47F53" w14:paraId="68D0E824" w14:textId="77777777" w:rsidTr="00E35844">
        <w:trPr>
          <w:trHeight w:val="600"/>
        </w:trPr>
        <w:tc>
          <w:tcPr>
            <w:tcW w:w="1312" w:type="dxa"/>
            <w:hideMark/>
          </w:tcPr>
          <w:p w14:paraId="5033794F" w14:textId="309DA53E" w:rsidR="00E35844" w:rsidRPr="00B47F53" w:rsidRDefault="00E35844" w:rsidP="00E35844">
            <w:pPr>
              <w:rPr>
                <w:rFonts w:ascii="Times New Roman" w:hAnsi="Times New Roman" w:cs="Times New Roman"/>
                <w:sz w:val="20"/>
                <w:szCs w:val="20"/>
              </w:rPr>
            </w:pPr>
          </w:p>
        </w:tc>
        <w:tc>
          <w:tcPr>
            <w:tcW w:w="5989" w:type="dxa"/>
            <w:hideMark/>
          </w:tcPr>
          <w:p w14:paraId="61C1BE43"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Provisions</w:t>
            </w:r>
          </w:p>
        </w:tc>
        <w:tc>
          <w:tcPr>
            <w:tcW w:w="1715" w:type="dxa"/>
            <w:gridSpan w:val="2"/>
            <w:hideMark/>
          </w:tcPr>
          <w:p w14:paraId="60AD0620" w14:textId="4ABA39A5" w:rsidR="00E35844" w:rsidRPr="00B47F53" w:rsidRDefault="00BB6E74" w:rsidP="00E35844">
            <w:pPr>
              <w:pStyle w:val="NoSpacing"/>
              <w:jc w:val="right"/>
              <w:rPr>
                <w:rFonts w:ascii="Times New Roman" w:hAnsi="Times New Roman" w:cs="Times New Roman"/>
                <w:sz w:val="20"/>
                <w:szCs w:val="20"/>
              </w:rPr>
            </w:pPr>
            <w:r>
              <w:rPr>
                <w:rFonts w:ascii="Times New Roman" w:hAnsi="Times New Roman" w:cs="Times New Roman"/>
                <w:sz w:val="20"/>
                <w:szCs w:val="20"/>
              </w:rPr>
              <w:t xml:space="preserve">   </w:t>
            </w:r>
            <w:r w:rsidR="009C068F" w:rsidRPr="009C068F">
              <w:rPr>
                <w:rFonts w:ascii="Times New Roman" w:hAnsi="Times New Roman" w:cs="Times New Roman"/>
                <w:sz w:val="20"/>
                <w:szCs w:val="20"/>
              </w:rPr>
              <w:t>41,790</w:t>
            </w:r>
            <w:r w:rsidR="009C068F" w:rsidRPr="009C068F">
              <w:rPr>
                <w:rFonts w:ascii="Times New Roman" w:hAnsi="Times New Roman" w:cs="Times New Roman"/>
                <w:sz w:val="20"/>
                <w:szCs w:val="20"/>
              </w:rPr>
              <w:tab/>
            </w:r>
          </w:p>
        </w:tc>
      </w:tr>
      <w:tr w:rsidR="00E35844" w:rsidRPr="00B47F53" w14:paraId="2FAE05B2" w14:textId="77777777" w:rsidTr="00E35844">
        <w:trPr>
          <w:trHeight w:val="600"/>
        </w:trPr>
        <w:tc>
          <w:tcPr>
            <w:tcW w:w="1312" w:type="dxa"/>
            <w:shd w:val="clear" w:color="auto" w:fill="92D050"/>
            <w:hideMark/>
          </w:tcPr>
          <w:p w14:paraId="3166AA36" w14:textId="7D70413D" w:rsidR="00E35844" w:rsidRPr="00B47F53" w:rsidRDefault="00E35844" w:rsidP="00E35844">
            <w:pPr>
              <w:rPr>
                <w:rFonts w:ascii="Times New Roman" w:hAnsi="Times New Roman" w:cs="Times New Roman"/>
                <w:sz w:val="20"/>
                <w:szCs w:val="20"/>
              </w:rPr>
            </w:pPr>
            <w:r w:rsidRPr="0026289E">
              <w:t>50</w:t>
            </w:r>
          </w:p>
        </w:tc>
        <w:tc>
          <w:tcPr>
            <w:tcW w:w="5989" w:type="dxa"/>
            <w:shd w:val="clear" w:color="auto" w:fill="92D050"/>
            <w:hideMark/>
          </w:tcPr>
          <w:p w14:paraId="4A9C9A21" w14:textId="77777777" w:rsidR="00E35844" w:rsidRPr="00B47F53" w:rsidRDefault="00E35844" w:rsidP="00E35844">
            <w:pPr>
              <w:rPr>
                <w:rFonts w:ascii="Times New Roman" w:hAnsi="Times New Roman" w:cs="Times New Roman"/>
                <w:b/>
                <w:bCs/>
                <w:sz w:val="20"/>
                <w:szCs w:val="20"/>
              </w:rPr>
            </w:pPr>
            <w:r w:rsidRPr="00B47F53">
              <w:rPr>
                <w:rFonts w:ascii="Times New Roman" w:hAnsi="Times New Roman" w:cs="Times New Roman"/>
                <w:b/>
                <w:bCs/>
                <w:sz w:val="20"/>
                <w:szCs w:val="20"/>
              </w:rPr>
              <w:t>Tier II capital before regulatory adjustments</w:t>
            </w:r>
          </w:p>
        </w:tc>
        <w:tc>
          <w:tcPr>
            <w:tcW w:w="1715" w:type="dxa"/>
            <w:gridSpan w:val="2"/>
            <w:shd w:val="clear" w:color="auto" w:fill="92D050"/>
            <w:hideMark/>
          </w:tcPr>
          <w:p w14:paraId="74D1CCE3" w14:textId="3C99CB75" w:rsidR="00E35844" w:rsidRPr="00B47F53" w:rsidRDefault="008368FA" w:rsidP="00E35844">
            <w:pPr>
              <w:jc w:val="right"/>
              <w:rPr>
                <w:rFonts w:ascii="Times New Roman" w:hAnsi="Times New Roman" w:cs="Times New Roman"/>
                <w:b/>
                <w:bCs/>
                <w:sz w:val="20"/>
                <w:szCs w:val="20"/>
              </w:rPr>
            </w:pPr>
            <w:r w:rsidRPr="008368FA">
              <w:rPr>
                <w:rFonts w:ascii="Times New Roman" w:hAnsi="Times New Roman" w:cs="Times New Roman"/>
                <w:b/>
                <w:bCs/>
                <w:sz w:val="20"/>
                <w:szCs w:val="20"/>
              </w:rPr>
              <w:t>258,536</w:t>
            </w:r>
          </w:p>
        </w:tc>
      </w:tr>
      <w:tr w:rsidR="00E35844" w:rsidRPr="00B47F53" w14:paraId="409F3ABE" w14:textId="77777777" w:rsidTr="00E35844">
        <w:trPr>
          <w:trHeight w:val="600"/>
        </w:trPr>
        <w:tc>
          <w:tcPr>
            <w:tcW w:w="1312" w:type="dxa"/>
            <w:shd w:val="clear" w:color="auto" w:fill="92D050"/>
            <w:noWrap/>
            <w:hideMark/>
          </w:tcPr>
          <w:p w14:paraId="421D406D" w14:textId="3DB9A760" w:rsidR="00E35844" w:rsidRPr="00B47F53" w:rsidRDefault="00E35844" w:rsidP="00E35844">
            <w:pPr>
              <w:rPr>
                <w:rFonts w:ascii="Times New Roman" w:hAnsi="Times New Roman" w:cs="Times New Roman"/>
                <w:sz w:val="20"/>
                <w:szCs w:val="20"/>
              </w:rPr>
            </w:pPr>
          </w:p>
        </w:tc>
        <w:tc>
          <w:tcPr>
            <w:tcW w:w="5989" w:type="dxa"/>
            <w:shd w:val="clear" w:color="auto" w:fill="92D050"/>
            <w:hideMark/>
          </w:tcPr>
          <w:p w14:paraId="773D695D" w14:textId="77777777" w:rsidR="00E35844" w:rsidRPr="00B47F53" w:rsidRDefault="00E35844" w:rsidP="00E35844">
            <w:pPr>
              <w:rPr>
                <w:rFonts w:ascii="Times New Roman" w:hAnsi="Times New Roman" w:cs="Times New Roman"/>
                <w:b/>
                <w:bCs/>
                <w:sz w:val="20"/>
                <w:szCs w:val="20"/>
              </w:rPr>
            </w:pPr>
            <w:r w:rsidRPr="00B47F53">
              <w:rPr>
                <w:rFonts w:ascii="Times New Roman" w:hAnsi="Times New Roman" w:cs="Times New Roman"/>
                <w:b/>
                <w:bCs/>
                <w:sz w:val="20"/>
                <w:szCs w:val="20"/>
              </w:rPr>
              <w:t>Tier II capital: regulatory adjustments</w:t>
            </w:r>
          </w:p>
        </w:tc>
        <w:tc>
          <w:tcPr>
            <w:tcW w:w="1715" w:type="dxa"/>
            <w:gridSpan w:val="2"/>
            <w:shd w:val="clear" w:color="auto" w:fill="92D050"/>
            <w:hideMark/>
          </w:tcPr>
          <w:p w14:paraId="0A0017D7"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759DF50A" w14:textId="77777777" w:rsidTr="00E35844">
        <w:trPr>
          <w:trHeight w:val="600"/>
        </w:trPr>
        <w:tc>
          <w:tcPr>
            <w:tcW w:w="1312" w:type="dxa"/>
            <w:hideMark/>
          </w:tcPr>
          <w:p w14:paraId="379D683C" w14:textId="1656E937" w:rsidR="00E35844" w:rsidRPr="00B47F53" w:rsidRDefault="009010E4" w:rsidP="00E35844">
            <w:pPr>
              <w:rPr>
                <w:rFonts w:ascii="Times New Roman" w:hAnsi="Times New Roman" w:cs="Times New Roman"/>
                <w:sz w:val="20"/>
                <w:szCs w:val="20"/>
              </w:rPr>
            </w:pPr>
            <w:r w:rsidRPr="0026289E">
              <w:t>51</w:t>
            </w:r>
          </w:p>
        </w:tc>
        <w:tc>
          <w:tcPr>
            <w:tcW w:w="5989" w:type="dxa"/>
            <w:noWrap/>
            <w:hideMark/>
          </w:tcPr>
          <w:p w14:paraId="2CB49E24"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Investments in own Tier II instruments</w:t>
            </w:r>
          </w:p>
        </w:tc>
        <w:tc>
          <w:tcPr>
            <w:tcW w:w="1715" w:type="dxa"/>
            <w:gridSpan w:val="2"/>
            <w:hideMark/>
          </w:tcPr>
          <w:p w14:paraId="2823847A"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013B0C14" w14:textId="77777777" w:rsidTr="00E35844">
        <w:trPr>
          <w:trHeight w:val="600"/>
        </w:trPr>
        <w:tc>
          <w:tcPr>
            <w:tcW w:w="1312" w:type="dxa"/>
            <w:hideMark/>
          </w:tcPr>
          <w:p w14:paraId="47CE6DBA" w14:textId="09A2F6D9" w:rsidR="00E35844" w:rsidRPr="00B47F53" w:rsidRDefault="00E35844" w:rsidP="00E35844">
            <w:pPr>
              <w:rPr>
                <w:rFonts w:ascii="Times New Roman" w:hAnsi="Times New Roman" w:cs="Times New Roman"/>
                <w:sz w:val="20"/>
                <w:szCs w:val="20"/>
              </w:rPr>
            </w:pPr>
            <w:r w:rsidRPr="0026289E">
              <w:t>52</w:t>
            </w:r>
          </w:p>
        </w:tc>
        <w:tc>
          <w:tcPr>
            <w:tcW w:w="5989" w:type="dxa"/>
            <w:hideMark/>
          </w:tcPr>
          <w:p w14:paraId="55546464"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Reciprocal cross-holdings in Tier II instruments</w:t>
            </w:r>
          </w:p>
        </w:tc>
        <w:tc>
          <w:tcPr>
            <w:tcW w:w="1715" w:type="dxa"/>
            <w:gridSpan w:val="2"/>
            <w:hideMark/>
          </w:tcPr>
          <w:p w14:paraId="219C38C8"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65BD55C8" w14:textId="77777777" w:rsidTr="00E35844">
        <w:trPr>
          <w:trHeight w:val="600"/>
        </w:trPr>
        <w:tc>
          <w:tcPr>
            <w:tcW w:w="1312" w:type="dxa"/>
            <w:hideMark/>
          </w:tcPr>
          <w:p w14:paraId="514B1050" w14:textId="19C09962" w:rsidR="00E35844" w:rsidRPr="00B47F53" w:rsidRDefault="00E35844" w:rsidP="00E35844">
            <w:pPr>
              <w:rPr>
                <w:rFonts w:ascii="Times New Roman" w:hAnsi="Times New Roman" w:cs="Times New Roman"/>
                <w:sz w:val="20"/>
                <w:szCs w:val="20"/>
              </w:rPr>
            </w:pPr>
            <w:r w:rsidRPr="0026289E">
              <w:t>53</w:t>
            </w:r>
          </w:p>
        </w:tc>
        <w:tc>
          <w:tcPr>
            <w:tcW w:w="5989" w:type="dxa"/>
            <w:vMerge w:val="restart"/>
            <w:hideMark/>
          </w:tcPr>
          <w:p w14:paraId="47BDBDFB"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Investments in the capital of banking, financial and insurance entities that are outside the scope of regulatory consolidation, net of eligible short positions, where the bank does not own more than 10% of the issued common share capital of the entity (amount above the 10% threshold).</w:t>
            </w:r>
          </w:p>
        </w:tc>
        <w:tc>
          <w:tcPr>
            <w:tcW w:w="1715" w:type="dxa"/>
            <w:gridSpan w:val="2"/>
            <w:vMerge w:val="restart"/>
            <w:hideMark/>
          </w:tcPr>
          <w:p w14:paraId="552E2138"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690C3123" w14:textId="77777777" w:rsidTr="00E35844">
        <w:trPr>
          <w:trHeight w:val="600"/>
        </w:trPr>
        <w:tc>
          <w:tcPr>
            <w:tcW w:w="1312" w:type="dxa"/>
            <w:hideMark/>
          </w:tcPr>
          <w:p w14:paraId="2B90BDD6" w14:textId="67002AE0" w:rsidR="00E35844" w:rsidRPr="00B47F53" w:rsidRDefault="00E35844" w:rsidP="00E35844">
            <w:pPr>
              <w:rPr>
                <w:rFonts w:ascii="Times New Roman" w:hAnsi="Times New Roman" w:cs="Times New Roman"/>
                <w:sz w:val="20"/>
                <w:szCs w:val="20"/>
              </w:rPr>
            </w:pPr>
          </w:p>
        </w:tc>
        <w:tc>
          <w:tcPr>
            <w:tcW w:w="5989" w:type="dxa"/>
            <w:vMerge/>
            <w:hideMark/>
          </w:tcPr>
          <w:p w14:paraId="6ACF8EF6" w14:textId="77777777" w:rsidR="00E35844" w:rsidRPr="00B47F53" w:rsidRDefault="00E35844" w:rsidP="00E35844">
            <w:pPr>
              <w:rPr>
                <w:rFonts w:ascii="Times New Roman" w:hAnsi="Times New Roman" w:cs="Times New Roman"/>
                <w:sz w:val="20"/>
                <w:szCs w:val="20"/>
              </w:rPr>
            </w:pPr>
          </w:p>
        </w:tc>
        <w:tc>
          <w:tcPr>
            <w:tcW w:w="1715" w:type="dxa"/>
            <w:gridSpan w:val="2"/>
            <w:vMerge/>
            <w:hideMark/>
          </w:tcPr>
          <w:p w14:paraId="37AC5380" w14:textId="77777777" w:rsidR="00E35844" w:rsidRPr="00B47F53" w:rsidRDefault="00E35844" w:rsidP="00E35844">
            <w:pPr>
              <w:pStyle w:val="NoSpacing"/>
              <w:jc w:val="right"/>
              <w:rPr>
                <w:rFonts w:ascii="Times New Roman" w:hAnsi="Times New Roman" w:cs="Times New Roman"/>
                <w:sz w:val="20"/>
                <w:szCs w:val="20"/>
              </w:rPr>
            </w:pPr>
          </w:p>
        </w:tc>
      </w:tr>
      <w:tr w:rsidR="00E35844" w:rsidRPr="00B47F53" w14:paraId="27C72695" w14:textId="77777777" w:rsidTr="00E35844">
        <w:trPr>
          <w:trHeight w:val="600"/>
        </w:trPr>
        <w:tc>
          <w:tcPr>
            <w:tcW w:w="1312" w:type="dxa"/>
            <w:hideMark/>
          </w:tcPr>
          <w:p w14:paraId="13C5EB2D" w14:textId="195CD557" w:rsidR="00E35844" w:rsidRPr="00B47F53" w:rsidRDefault="00E35844" w:rsidP="00E35844">
            <w:pPr>
              <w:rPr>
                <w:rFonts w:ascii="Times New Roman" w:hAnsi="Times New Roman" w:cs="Times New Roman"/>
                <w:sz w:val="20"/>
                <w:szCs w:val="20"/>
              </w:rPr>
            </w:pPr>
            <w:r w:rsidRPr="0026289E">
              <w:t>54</w:t>
            </w:r>
          </w:p>
        </w:tc>
        <w:tc>
          <w:tcPr>
            <w:tcW w:w="5989" w:type="dxa"/>
            <w:hideMark/>
          </w:tcPr>
          <w:p w14:paraId="2ADBE08F"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 xml:space="preserve"> Significant investments in the capital banking, financial and insurance entities that are outside the scope of regulatory consolidation (net of eligible short positions).</w:t>
            </w:r>
          </w:p>
        </w:tc>
        <w:tc>
          <w:tcPr>
            <w:tcW w:w="1715" w:type="dxa"/>
            <w:gridSpan w:val="2"/>
            <w:hideMark/>
          </w:tcPr>
          <w:p w14:paraId="5042A52A"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0D9A7D4A" w14:textId="77777777" w:rsidTr="00E35844">
        <w:trPr>
          <w:trHeight w:val="600"/>
        </w:trPr>
        <w:tc>
          <w:tcPr>
            <w:tcW w:w="1312" w:type="dxa"/>
            <w:hideMark/>
          </w:tcPr>
          <w:p w14:paraId="1E1FF24E" w14:textId="2456B4E6" w:rsidR="00E35844" w:rsidRPr="00B47F53" w:rsidRDefault="00E35844" w:rsidP="00E35844">
            <w:pPr>
              <w:rPr>
                <w:rFonts w:ascii="Times New Roman" w:hAnsi="Times New Roman" w:cs="Times New Roman"/>
                <w:sz w:val="20"/>
                <w:szCs w:val="20"/>
              </w:rPr>
            </w:pPr>
            <w:r w:rsidRPr="0026289E">
              <w:t>55</w:t>
            </w:r>
          </w:p>
        </w:tc>
        <w:tc>
          <w:tcPr>
            <w:tcW w:w="5989" w:type="dxa"/>
            <w:hideMark/>
          </w:tcPr>
          <w:p w14:paraId="4A9F5B73"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National specific regulatory adjustments</w:t>
            </w:r>
          </w:p>
        </w:tc>
        <w:tc>
          <w:tcPr>
            <w:tcW w:w="1715" w:type="dxa"/>
            <w:gridSpan w:val="2"/>
            <w:hideMark/>
          </w:tcPr>
          <w:p w14:paraId="5E841EB2"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126E1D9E" w14:textId="77777777" w:rsidTr="00E35844">
        <w:trPr>
          <w:trHeight w:val="600"/>
        </w:trPr>
        <w:tc>
          <w:tcPr>
            <w:tcW w:w="1312" w:type="dxa"/>
            <w:shd w:val="clear" w:color="auto" w:fill="92D050"/>
            <w:hideMark/>
          </w:tcPr>
          <w:p w14:paraId="7AC54590" w14:textId="52929730" w:rsidR="00E35844" w:rsidRPr="00B47F53" w:rsidRDefault="00E35844" w:rsidP="00E35844">
            <w:pPr>
              <w:rPr>
                <w:rFonts w:ascii="Times New Roman" w:hAnsi="Times New Roman" w:cs="Times New Roman"/>
                <w:sz w:val="20"/>
                <w:szCs w:val="20"/>
              </w:rPr>
            </w:pPr>
            <w:r w:rsidRPr="0026289E">
              <w:t>56</w:t>
            </w:r>
          </w:p>
        </w:tc>
        <w:tc>
          <w:tcPr>
            <w:tcW w:w="5989" w:type="dxa"/>
            <w:shd w:val="clear" w:color="auto" w:fill="92D050"/>
            <w:hideMark/>
          </w:tcPr>
          <w:p w14:paraId="7D0AA2AA" w14:textId="77777777" w:rsidR="00E35844" w:rsidRPr="00B47F53" w:rsidRDefault="00E35844" w:rsidP="00E35844">
            <w:pPr>
              <w:rPr>
                <w:rFonts w:ascii="Times New Roman" w:hAnsi="Times New Roman" w:cs="Times New Roman"/>
                <w:b/>
                <w:bCs/>
                <w:sz w:val="20"/>
                <w:szCs w:val="20"/>
              </w:rPr>
            </w:pPr>
            <w:r w:rsidRPr="00B47F53">
              <w:rPr>
                <w:rFonts w:ascii="Times New Roman" w:hAnsi="Times New Roman" w:cs="Times New Roman"/>
                <w:b/>
                <w:bCs/>
                <w:sz w:val="20"/>
                <w:szCs w:val="20"/>
              </w:rPr>
              <w:t>Total regulatory adjustments to Tier II capital</w:t>
            </w:r>
          </w:p>
        </w:tc>
        <w:tc>
          <w:tcPr>
            <w:tcW w:w="1715" w:type="dxa"/>
            <w:gridSpan w:val="2"/>
            <w:shd w:val="clear" w:color="auto" w:fill="92D050"/>
            <w:hideMark/>
          </w:tcPr>
          <w:p w14:paraId="1C0F4F9E" w14:textId="77777777" w:rsidR="00E35844" w:rsidRPr="00B47F53" w:rsidRDefault="00E35844" w:rsidP="00E35844">
            <w:pPr>
              <w:jc w:val="right"/>
              <w:rPr>
                <w:rFonts w:ascii="Times New Roman" w:hAnsi="Times New Roman" w:cs="Times New Roman"/>
                <w:b/>
                <w:bCs/>
                <w:sz w:val="20"/>
                <w:szCs w:val="20"/>
              </w:rPr>
            </w:pPr>
            <w:r w:rsidRPr="00B47F53">
              <w:rPr>
                <w:rFonts w:ascii="Times New Roman" w:hAnsi="Times New Roman" w:cs="Times New Roman"/>
                <w:b/>
                <w:bCs/>
                <w:sz w:val="20"/>
                <w:szCs w:val="20"/>
              </w:rPr>
              <w:t xml:space="preserve">                          -   </w:t>
            </w:r>
          </w:p>
        </w:tc>
      </w:tr>
      <w:tr w:rsidR="00E35844" w:rsidRPr="00B47F53" w14:paraId="3FDF068B" w14:textId="77777777" w:rsidTr="00E35844">
        <w:trPr>
          <w:trHeight w:val="600"/>
        </w:trPr>
        <w:tc>
          <w:tcPr>
            <w:tcW w:w="1312" w:type="dxa"/>
            <w:shd w:val="clear" w:color="auto" w:fill="92D050"/>
            <w:hideMark/>
          </w:tcPr>
          <w:p w14:paraId="2572F93D" w14:textId="2669375E" w:rsidR="00E35844" w:rsidRPr="00B47F53" w:rsidRDefault="00E35844" w:rsidP="00E35844">
            <w:pPr>
              <w:rPr>
                <w:rFonts w:ascii="Times New Roman" w:hAnsi="Times New Roman" w:cs="Times New Roman"/>
                <w:sz w:val="20"/>
                <w:szCs w:val="20"/>
              </w:rPr>
            </w:pPr>
            <w:r w:rsidRPr="0026289E">
              <w:t>57</w:t>
            </w:r>
          </w:p>
        </w:tc>
        <w:tc>
          <w:tcPr>
            <w:tcW w:w="5989" w:type="dxa"/>
            <w:shd w:val="clear" w:color="auto" w:fill="92D050"/>
            <w:hideMark/>
          </w:tcPr>
          <w:p w14:paraId="46D04D89" w14:textId="77777777" w:rsidR="00E35844" w:rsidRPr="00B47F53" w:rsidRDefault="00E35844" w:rsidP="00E35844">
            <w:pPr>
              <w:rPr>
                <w:rFonts w:ascii="Times New Roman" w:hAnsi="Times New Roman" w:cs="Times New Roman"/>
                <w:b/>
                <w:bCs/>
                <w:sz w:val="20"/>
                <w:szCs w:val="20"/>
              </w:rPr>
            </w:pPr>
            <w:r w:rsidRPr="00B47F53">
              <w:rPr>
                <w:rFonts w:ascii="Times New Roman" w:hAnsi="Times New Roman" w:cs="Times New Roman"/>
                <w:b/>
                <w:bCs/>
                <w:sz w:val="20"/>
                <w:szCs w:val="20"/>
              </w:rPr>
              <w:t>Tier II capital (T2)</w:t>
            </w:r>
          </w:p>
        </w:tc>
        <w:tc>
          <w:tcPr>
            <w:tcW w:w="1715" w:type="dxa"/>
            <w:gridSpan w:val="2"/>
            <w:shd w:val="clear" w:color="auto" w:fill="92D050"/>
            <w:noWrap/>
            <w:hideMark/>
          </w:tcPr>
          <w:p w14:paraId="403B5956" w14:textId="61036994" w:rsidR="00E35844" w:rsidRPr="00B47F53" w:rsidRDefault="008368FA" w:rsidP="00E35844">
            <w:pPr>
              <w:jc w:val="right"/>
              <w:rPr>
                <w:rFonts w:ascii="Times New Roman" w:hAnsi="Times New Roman" w:cs="Times New Roman"/>
                <w:b/>
                <w:bCs/>
                <w:sz w:val="20"/>
                <w:szCs w:val="20"/>
              </w:rPr>
            </w:pPr>
            <w:r w:rsidRPr="008368FA">
              <w:rPr>
                <w:rFonts w:ascii="Times New Roman" w:hAnsi="Times New Roman" w:cs="Times New Roman"/>
                <w:b/>
                <w:bCs/>
                <w:sz w:val="20"/>
                <w:szCs w:val="20"/>
              </w:rPr>
              <w:t>258,536</w:t>
            </w:r>
            <w:r>
              <w:rPr>
                <w:rFonts w:ascii="Times New Roman" w:hAnsi="Times New Roman" w:cs="Times New Roman"/>
                <w:b/>
                <w:bCs/>
                <w:sz w:val="20"/>
                <w:szCs w:val="20"/>
              </w:rPr>
              <w:t xml:space="preserve">   </w:t>
            </w:r>
          </w:p>
        </w:tc>
      </w:tr>
      <w:tr w:rsidR="00E35844" w:rsidRPr="00B47F53" w14:paraId="4E16F604" w14:textId="77777777" w:rsidTr="00E35844">
        <w:trPr>
          <w:trHeight w:val="600"/>
        </w:trPr>
        <w:tc>
          <w:tcPr>
            <w:tcW w:w="1312" w:type="dxa"/>
            <w:shd w:val="clear" w:color="auto" w:fill="92D050"/>
            <w:hideMark/>
          </w:tcPr>
          <w:p w14:paraId="6A0AD537" w14:textId="4EFB0821" w:rsidR="00E35844" w:rsidRPr="00B47F53" w:rsidRDefault="00E35844" w:rsidP="00E35844">
            <w:pPr>
              <w:rPr>
                <w:rFonts w:ascii="Times New Roman" w:hAnsi="Times New Roman" w:cs="Times New Roman"/>
                <w:sz w:val="20"/>
                <w:szCs w:val="20"/>
              </w:rPr>
            </w:pPr>
            <w:r w:rsidRPr="0026289E">
              <w:t>58</w:t>
            </w:r>
          </w:p>
        </w:tc>
        <w:tc>
          <w:tcPr>
            <w:tcW w:w="5989" w:type="dxa"/>
            <w:shd w:val="clear" w:color="auto" w:fill="92D050"/>
            <w:hideMark/>
          </w:tcPr>
          <w:p w14:paraId="3CA28D33" w14:textId="77777777" w:rsidR="00E35844" w:rsidRPr="004E28B6" w:rsidRDefault="00E35844" w:rsidP="00E35844">
            <w:pPr>
              <w:rPr>
                <w:rFonts w:ascii="Times New Roman" w:hAnsi="Times New Roman" w:cs="Times New Roman"/>
                <w:b/>
                <w:bCs/>
                <w:sz w:val="20"/>
                <w:szCs w:val="20"/>
                <w:lang w:val="fr-FR"/>
              </w:rPr>
            </w:pPr>
            <w:r w:rsidRPr="004E28B6">
              <w:rPr>
                <w:rFonts w:ascii="Times New Roman" w:hAnsi="Times New Roman" w:cs="Times New Roman"/>
                <w:b/>
                <w:bCs/>
                <w:sz w:val="20"/>
                <w:szCs w:val="20"/>
                <w:lang w:val="fr-FR"/>
              </w:rPr>
              <w:t>Total capital (TC = T1 + T2)</w:t>
            </w:r>
          </w:p>
        </w:tc>
        <w:tc>
          <w:tcPr>
            <w:tcW w:w="1715" w:type="dxa"/>
            <w:gridSpan w:val="2"/>
            <w:shd w:val="clear" w:color="auto" w:fill="92D050"/>
            <w:noWrap/>
            <w:hideMark/>
          </w:tcPr>
          <w:p w14:paraId="430FBEC9" w14:textId="0B9186A0" w:rsidR="00E35844" w:rsidRPr="00B47F53" w:rsidRDefault="008368FA" w:rsidP="00E35844">
            <w:pPr>
              <w:jc w:val="right"/>
              <w:rPr>
                <w:rFonts w:ascii="Times New Roman" w:hAnsi="Times New Roman" w:cs="Times New Roman"/>
                <w:b/>
                <w:bCs/>
                <w:sz w:val="20"/>
                <w:szCs w:val="20"/>
              </w:rPr>
            </w:pPr>
            <w:r w:rsidRPr="008368FA">
              <w:rPr>
                <w:rFonts w:ascii="Times New Roman" w:hAnsi="Times New Roman" w:cs="Times New Roman"/>
                <w:b/>
                <w:bCs/>
                <w:sz w:val="20"/>
                <w:szCs w:val="20"/>
              </w:rPr>
              <w:t>661,448</w:t>
            </w:r>
          </w:p>
        </w:tc>
      </w:tr>
      <w:tr w:rsidR="00E35844" w:rsidRPr="00B47F53" w14:paraId="7D019EC3" w14:textId="77777777" w:rsidTr="00E35844">
        <w:trPr>
          <w:trHeight w:val="600"/>
        </w:trPr>
        <w:tc>
          <w:tcPr>
            <w:tcW w:w="1312" w:type="dxa"/>
            <w:shd w:val="clear" w:color="auto" w:fill="92D050"/>
            <w:hideMark/>
          </w:tcPr>
          <w:p w14:paraId="61E8DEDA" w14:textId="66AC67D4" w:rsidR="00E35844" w:rsidRPr="00B47F53" w:rsidRDefault="00E35844" w:rsidP="00E35844">
            <w:pPr>
              <w:rPr>
                <w:rFonts w:ascii="Times New Roman" w:hAnsi="Times New Roman" w:cs="Times New Roman"/>
                <w:sz w:val="20"/>
                <w:szCs w:val="20"/>
              </w:rPr>
            </w:pPr>
            <w:r w:rsidRPr="0026289E">
              <w:t>59</w:t>
            </w:r>
          </w:p>
        </w:tc>
        <w:tc>
          <w:tcPr>
            <w:tcW w:w="5989" w:type="dxa"/>
            <w:shd w:val="clear" w:color="auto" w:fill="92D050"/>
            <w:hideMark/>
          </w:tcPr>
          <w:p w14:paraId="3DBA4483" w14:textId="77777777" w:rsidR="00E35844" w:rsidRPr="00B47F53" w:rsidRDefault="00E35844" w:rsidP="00E35844">
            <w:pPr>
              <w:rPr>
                <w:rFonts w:ascii="Times New Roman" w:hAnsi="Times New Roman" w:cs="Times New Roman"/>
                <w:b/>
                <w:bCs/>
                <w:sz w:val="20"/>
                <w:szCs w:val="20"/>
              </w:rPr>
            </w:pPr>
            <w:r w:rsidRPr="00B47F53">
              <w:rPr>
                <w:rFonts w:ascii="Times New Roman" w:hAnsi="Times New Roman" w:cs="Times New Roman"/>
                <w:b/>
                <w:bCs/>
                <w:sz w:val="20"/>
                <w:szCs w:val="20"/>
              </w:rPr>
              <w:t>Total risk-weighted assets</w:t>
            </w:r>
          </w:p>
        </w:tc>
        <w:tc>
          <w:tcPr>
            <w:tcW w:w="1715" w:type="dxa"/>
            <w:gridSpan w:val="2"/>
            <w:shd w:val="clear" w:color="auto" w:fill="92D050"/>
            <w:hideMark/>
          </w:tcPr>
          <w:p w14:paraId="2DE31DF9" w14:textId="09240070" w:rsidR="00E35844" w:rsidRPr="00B47F53" w:rsidRDefault="00BB6E74" w:rsidP="00E35844">
            <w:pPr>
              <w:jc w:val="right"/>
              <w:rPr>
                <w:rFonts w:ascii="Times New Roman" w:hAnsi="Times New Roman" w:cs="Times New Roman"/>
                <w:b/>
                <w:bCs/>
                <w:sz w:val="20"/>
                <w:szCs w:val="20"/>
              </w:rPr>
            </w:pPr>
            <w:r>
              <w:rPr>
                <w:rFonts w:ascii="Times New Roman" w:hAnsi="Times New Roman" w:cs="Times New Roman"/>
                <w:b/>
                <w:bCs/>
                <w:sz w:val="20"/>
                <w:szCs w:val="20"/>
              </w:rPr>
              <w:t xml:space="preserve">             </w:t>
            </w:r>
            <w:r w:rsidR="008368FA" w:rsidRPr="008368FA">
              <w:rPr>
                <w:rFonts w:ascii="Times New Roman" w:hAnsi="Times New Roman" w:cs="Times New Roman"/>
                <w:b/>
                <w:bCs/>
                <w:sz w:val="20"/>
                <w:szCs w:val="20"/>
              </w:rPr>
              <w:t>3,627,011</w:t>
            </w:r>
            <w:r w:rsidR="008368FA" w:rsidRPr="008368FA">
              <w:rPr>
                <w:rFonts w:ascii="Times New Roman" w:hAnsi="Times New Roman" w:cs="Times New Roman"/>
                <w:b/>
                <w:bCs/>
                <w:sz w:val="20"/>
                <w:szCs w:val="20"/>
              </w:rPr>
              <w:tab/>
            </w:r>
            <w:r w:rsidRPr="00BB6E74">
              <w:rPr>
                <w:rFonts w:ascii="Times New Roman" w:hAnsi="Times New Roman" w:cs="Times New Roman"/>
                <w:b/>
                <w:bCs/>
                <w:sz w:val="20"/>
                <w:szCs w:val="20"/>
              </w:rPr>
              <w:tab/>
            </w:r>
          </w:p>
        </w:tc>
      </w:tr>
      <w:tr w:rsidR="00E35844" w:rsidRPr="00B47F53" w14:paraId="03D4E5D2" w14:textId="77777777" w:rsidTr="00E35844">
        <w:trPr>
          <w:trHeight w:val="600"/>
        </w:trPr>
        <w:tc>
          <w:tcPr>
            <w:tcW w:w="1312" w:type="dxa"/>
            <w:hideMark/>
          </w:tcPr>
          <w:p w14:paraId="42349FB7" w14:textId="19480067" w:rsidR="00E35844" w:rsidRPr="00B47F53" w:rsidRDefault="00E35844" w:rsidP="00E35844">
            <w:pPr>
              <w:rPr>
                <w:rFonts w:ascii="Times New Roman" w:hAnsi="Times New Roman" w:cs="Times New Roman"/>
                <w:sz w:val="20"/>
                <w:szCs w:val="20"/>
              </w:rPr>
            </w:pPr>
          </w:p>
        </w:tc>
        <w:tc>
          <w:tcPr>
            <w:tcW w:w="5989" w:type="dxa"/>
            <w:hideMark/>
          </w:tcPr>
          <w:p w14:paraId="77E01980" w14:textId="77777777" w:rsidR="00E35844" w:rsidRPr="00B47F53" w:rsidRDefault="00E35844" w:rsidP="00E35844">
            <w:pPr>
              <w:rPr>
                <w:rFonts w:ascii="Times New Roman" w:hAnsi="Times New Roman" w:cs="Times New Roman"/>
                <w:sz w:val="20"/>
                <w:szCs w:val="20"/>
              </w:rPr>
            </w:pPr>
          </w:p>
        </w:tc>
        <w:tc>
          <w:tcPr>
            <w:tcW w:w="1036" w:type="dxa"/>
            <w:hideMark/>
          </w:tcPr>
          <w:p w14:paraId="6B3F4486" w14:textId="77777777" w:rsidR="00E35844" w:rsidRPr="00B47F53" w:rsidRDefault="00E35844" w:rsidP="00E35844">
            <w:pPr>
              <w:rPr>
                <w:rFonts w:ascii="Times New Roman" w:hAnsi="Times New Roman" w:cs="Times New Roman"/>
                <w:sz w:val="20"/>
                <w:szCs w:val="20"/>
              </w:rPr>
            </w:pPr>
          </w:p>
        </w:tc>
        <w:tc>
          <w:tcPr>
            <w:tcW w:w="679" w:type="dxa"/>
            <w:hideMark/>
          </w:tcPr>
          <w:p w14:paraId="7534C0C9" w14:textId="77777777" w:rsidR="00E35844" w:rsidRPr="00B47F53" w:rsidRDefault="00E35844" w:rsidP="00E35844">
            <w:pPr>
              <w:rPr>
                <w:rFonts w:ascii="Times New Roman" w:hAnsi="Times New Roman" w:cs="Times New Roman"/>
                <w:sz w:val="20"/>
                <w:szCs w:val="20"/>
              </w:rPr>
            </w:pPr>
          </w:p>
        </w:tc>
      </w:tr>
      <w:tr w:rsidR="00E35844" w:rsidRPr="00B47F53" w14:paraId="11832BE1" w14:textId="77777777" w:rsidTr="00B20E1A">
        <w:trPr>
          <w:trHeight w:val="600"/>
        </w:trPr>
        <w:tc>
          <w:tcPr>
            <w:tcW w:w="9016" w:type="dxa"/>
            <w:gridSpan w:val="4"/>
            <w:shd w:val="clear" w:color="auto" w:fill="92D050"/>
            <w:hideMark/>
          </w:tcPr>
          <w:p w14:paraId="19815413" w14:textId="4C0E5615" w:rsidR="00E35844" w:rsidRPr="00B47F53" w:rsidRDefault="00870A3A" w:rsidP="00870A3A">
            <w:pPr>
              <w:jc w:val="center"/>
              <w:rPr>
                <w:rFonts w:ascii="Times New Roman" w:hAnsi="Times New Roman" w:cs="Times New Roman"/>
                <w:sz w:val="20"/>
                <w:szCs w:val="20"/>
              </w:rPr>
            </w:pPr>
            <w:r w:rsidRPr="00870A3A">
              <w:rPr>
                <w:b/>
                <w:bCs/>
              </w:rPr>
              <w:t>Capital ratios and buffers</w:t>
            </w:r>
          </w:p>
        </w:tc>
      </w:tr>
      <w:tr w:rsidR="00E35844" w:rsidRPr="00B47F53" w14:paraId="7D20754F" w14:textId="77777777" w:rsidTr="00E35844">
        <w:trPr>
          <w:trHeight w:val="600"/>
        </w:trPr>
        <w:tc>
          <w:tcPr>
            <w:tcW w:w="1312" w:type="dxa"/>
            <w:hideMark/>
          </w:tcPr>
          <w:p w14:paraId="70371B72" w14:textId="7A442F41" w:rsidR="00E35844" w:rsidRPr="00B47F53" w:rsidRDefault="00870A3A" w:rsidP="00E35844">
            <w:pPr>
              <w:rPr>
                <w:rFonts w:ascii="Times New Roman" w:hAnsi="Times New Roman" w:cs="Times New Roman"/>
                <w:sz w:val="20"/>
                <w:szCs w:val="20"/>
              </w:rPr>
            </w:pPr>
            <w:r w:rsidRPr="0026289E">
              <w:t>60</w:t>
            </w:r>
          </w:p>
        </w:tc>
        <w:tc>
          <w:tcPr>
            <w:tcW w:w="5989" w:type="dxa"/>
            <w:hideMark/>
          </w:tcPr>
          <w:p w14:paraId="0D24D3E9" w14:textId="77777777" w:rsidR="00E35844" w:rsidRPr="00B47F53" w:rsidRDefault="00E35844" w:rsidP="00E35844">
            <w:pPr>
              <w:rPr>
                <w:rFonts w:ascii="Times New Roman" w:hAnsi="Times New Roman" w:cs="Times New Roman"/>
                <w:sz w:val="20"/>
                <w:szCs w:val="20"/>
              </w:rPr>
            </w:pPr>
            <w:r w:rsidRPr="00B47F53">
              <w:rPr>
                <w:rFonts w:ascii="Times New Roman" w:hAnsi="Times New Roman" w:cs="Times New Roman"/>
                <w:sz w:val="20"/>
                <w:szCs w:val="20"/>
              </w:rPr>
              <w:t>Common Equity Tier I (as a percentage of risk weighted assets)</w:t>
            </w:r>
          </w:p>
        </w:tc>
        <w:tc>
          <w:tcPr>
            <w:tcW w:w="1715" w:type="dxa"/>
            <w:gridSpan w:val="2"/>
            <w:hideMark/>
          </w:tcPr>
          <w:p w14:paraId="58E24FE9" w14:textId="63F231D6" w:rsidR="00E35844" w:rsidRPr="00B47F53" w:rsidRDefault="00BB6E74" w:rsidP="00E35844">
            <w:pPr>
              <w:pStyle w:val="NoSpacing"/>
              <w:jc w:val="right"/>
              <w:rPr>
                <w:rFonts w:ascii="Times New Roman" w:hAnsi="Times New Roman" w:cs="Times New Roman"/>
                <w:sz w:val="20"/>
                <w:szCs w:val="20"/>
              </w:rPr>
            </w:pPr>
            <w:r>
              <w:rPr>
                <w:rFonts w:ascii="Times New Roman" w:hAnsi="Times New Roman" w:cs="Times New Roman"/>
                <w:sz w:val="20"/>
                <w:szCs w:val="20"/>
              </w:rPr>
              <w:t xml:space="preserve">   </w:t>
            </w:r>
            <w:r w:rsidR="008368FA">
              <w:rPr>
                <w:rFonts w:ascii="Times New Roman" w:hAnsi="Times New Roman" w:cs="Times New Roman"/>
                <w:sz w:val="20"/>
                <w:szCs w:val="20"/>
              </w:rPr>
              <w:t xml:space="preserve">            11</w:t>
            </w:r>
            <w:r w:rsidRPr="00BB6E74">
              <w:rPr>
                <w:rFonts w:ascii="Times New Roman" w:hAnsi="Times New Roman" w:cs="Times New Roman"/>
                <w:sz w:val="20"/>
                <w:szCs w:val="20"/>
              </w:rPr>
              <w:t>.</w:t>
            </w:r>
            <w:r w:rsidR="008368FA">
              <w:rPr>
                <w:rFonts w:ascii="Times New Roman" w:hAnsi="Times New Roman" w:cs="Times New Roman"/>
                <w:sz w:val="20"/>
                <w:szCs w:val="20"/>
              </w:rPr>
              <w:t>11</w:t>
            </w:r>
            <w:r w:rsidRPr="00BB6E74">
              <w:rPr>
                <w:rFonts w:ascii="Times New Roman" w:hAnsi="Times New Roman" w:cs="Times New Roman"/>
                <w:sz w:val="20"/>
                <w:szCs w:val="20"/>
              </w:rPr>
              <w:t>%</w:t>
            </w:r>
            <w:r w:rsidRPr="00BB6E74">
              <w:rPr>
                <w:rFonts w:ascii="Times New Roman" w:hAnsi="Times New Roman" w:cs="Times New Roman"/>
                <w:sz w:val="20"/>
                <w:szCs w:val="20"/>
              </w:rPr>
              <w:tab/>
            </w:r>
          </w:p>
        </w:tc>
      </w:tr>
      <w:tr w:rsidR="00E35844" w:rsidRPr="00B47F53" w14:paraId="5376C31F" w14:textId="77777777" w:rsidTr="00E35844">
        <w:trPr>
          <w:trHeight w:val="600"/>
        </w:trPr>
        <w:tc>
          <w:tcPr>
            <w:tcW w:w="1312" w:type="dxa"/>
            <w:hideMark/>
          </w:tcPr>
          <w:p w14:paraId="61414578" w14:textId="4191D214" w:rsidR="00E35844" w:rsidRPr="00B47F53" w:rsidRDefault="00E35844" w:rsidP="00E35844">
            <w:pPr>
              <w:rPr>
                <w:rFonts w:ascii="Times New Roman" w:hAnsi="Times New Roman" w:cs="Times New Roman"/>
                <w:sz w:val="20"/>
                <w:szCs w:val="20"/>
              </w:rPr>
            </w:pPr>
            <w:r w:rsidRPr="0026289E">
              <w:t>61</w:t>
            </w:r>
          </w:p>
        </w:tc>
        <w:tc>
          <w:tcPr>
            <w:tcW w:w="5989" w:type="dxa"/>
            <w:hideMark/>
          </w:tcPr>
          <w:p w14:paraId="2012EA7B" w14:textId="77777777" w:rsidR="00E35844" w:rsidRPr="00B47F53" w:rsidRDefault="00E35844" w:rsidP="00E35844">
            <w:pPr>
              <w:rPr>
                <w:rFonts w:ascii="Times New Roman" w:hAnsi="Times New Roman" w:cs="Times New Roman"/>
                <w:i/>
                <w:iCs/>
                <w:sz w:val="20"/>
                <w:szCs w:val="20"/>
              </w:rPr>
            </w:pPr>
            <w:r w:rsidRPr="00B47F53">
              <w:rPr>
                <w:rFonts w:ascii="Times New Roman" w:hAnsi="Times New Roman" w:cs="Times New Roman"/>
                <w:i/>
                <w:iCs/>
                <w:sz w:val="20"/>
                <w:szCs w:val="20"/>
              </w:rPr>
              <w:t>Tier I (as a percentage of risk-weighted assets)</w:t>
            </w:r>
          </w:p>
        </w:tc>
        <w:tc>
          <w:tcPr>
            <w:tcW w:w="1715" w:type="dxa"/>
            <w:gridSpan w:val="2"/>
            <w:hideMark/>
          </w:tcPr>
          <w:p w14:paraId="10BA3B04" w14:textId="38C6ABFD" w:rsidR="00E35844" w:rsidRPr="00B47F53" w:rsidRDefault="00BB6E74" w:rsidP="00E35844">
            <w:pPr>
              <w:pStyle w:val="NoSpacing"/>
              <w:jc w:val="right"/>
              <w:rPr>
                <w:rFonts w:ascii="Times New Roman" w:hAnsi="Times New Roman" w:cs="Times New Roman"/>
                <w:sz w:val="20"/>
                <w:szCs w:val="20"/>
              </w:rPr>
            </w:pPr>
            <w:r>
              <w:rPr>
                <w:rFonts w:ascii="Times New Roman" w:hAnsi="Times New Roman" w:cs="Times New Roman"/>
                <w:sz w:val="20"/>
                <w:szCs w:val="20"/>
              </w:rPr>
              <w:t xml:space="preserve">                </w:t>
            </w:r>
            <w:r w:rsidR="008368FA">
              <w:rPr>
                <w:rFonts w:ascii="Times New Roman" w:hAnsi="Times New Roman" w:cs="Times New Roman"/>
                <w:sz w:val="20"/>
                <w:szCs w:val="20"/>
              </w:rPr>
              <w:t>11</w:t>
            </w:r>
            <w:r w:rsidR="008368FA" w:rsidRPr="00BB6E74">
              <w:rPr>
                <w:rFonts w:ascii="Times New Roman" w:hAnsi="Times New Roman" w:cs="Times New Roman"/>
                <w:sz w:val="20"/>
                <w:szCs w:val="20"/>
              </w:rPr>
              <w:t>.</w:t>
            </w:r>
            <w:r w:rsidR="008368FA">
              <w:rPr>
                <w:rFonts w:ascii="Times New Roman" w:hAnsi="Times New Roman" w:cs="Times New Roman"/>
                <w:sz w:val="20"/>
                <w:szCs w:val="20"/>
              </w:rPr>
              <w:t>11</w:t>
            </w:r>
            <w:r w:rsidR="008368FA" w:rsidRPr="00BB6E74">
              <w:rPr>
                <w:rFonts w:ascii="Times New Roman" w:hAnsi="Times New Roman" w:cs="Times New Roman"/>
                <w:sz w:val="20"/>
                <w:szCs w:val="20"/>
              </w:rPr>
              <w:t>%</w:t>
            </w:r>
            <w:r w:rsidRPr="00BB6E74">
              <w:rPr>
                <w:rFonts w:ascii="Times New Roman" w:hAnsi="Times New Roman" w:cs="Times New Roman"/>
                <w:sz w:val="20"/>
                <w:szCs w:val="20"/>
              </w:rPr>
              <w:tab/>
            </w:r>
          </w:p>
        </w:tc>
      </w:tr>
      <w:tr w:rsidR="00E35844" w:rsidRPr="00B47F53" w14:paraId="4AF1416D" w14:textId="77777777" w:rsidTr="00E35844">
        <w:trPr>
          <w:trHeight w:val="600"/>
        </w:trPr>
        <w:tc>
          <w:tcPr>
            <w:tcW w:w="1312" w:type="dxa"/>
            <w:hideMark/>
          </w:tcPr>
          <w:p w14:paraId="0E285EB9" w14:textId="1C45AC56" w:rsidR="00E35844" w:rsidRPr="00B47F53" w:rsidRDefault="00E35844" w:rsidP="00E35844">
            <w:pPr>
              <w:rPr>
                <w:rFonts w:ascii="Times New Roman" w:hAnsi="Times New Roman" w:cs="Times New Roman"/>
                <w:sz w:val="20"/>
                <w:szCs w:val="20"/>
              </w:rPr>
            </w:pPr>
            <w:r w:rsidRPr="0026289E">
              <w:t>62</w:t>
            </w:r>
          </w:p>
        </w:tc>
        <w:tc>
          <w:tcPr>
            <w:tcW w:w="5989" w:type="dxa"/>
            <w:hideMark/>
          </w:tcPr>
          <w:p w14:paraId="3DC6863F" w14:textId="77777777" w:rsidR="00E35844" w:rsidRPr="00B47F53" w:rsidRDefault="00E35844" w:rsidP="00E35844">
            <w:pPr>
              <w:rPr>
                <w:rFonts w:ascii="Times New Roman" w:hAnsi="Times New Roman" w:cs="Times New Roman"/>
                <w:i/>
                <w:iCs/>
                <w:sz w:val="20"/>
                <w:szCs w:val="20"/>
              </w:rPr>
            </w:pPr>
            <w:r w:rsidRPr="00B47F53">
              <w:rPr>
                <w:rFonts w:ascii="Times New Roman" w:hAnsi="Times New Roman" w:cs="Times New Roman"/>
                <w:i/>
                <w:iCs/>
                <w:sz w:val="20"/>
                <w:szCs w:val="20"/>
              </w:rPr>
              <w:t>Total capital (as a percentage of risk weighted assets)</w:t>
            </w:r>
          </w:p>
        </w:tc>
        <w:tc>
          <w:tcPr>
            <w:tcW w:w="1715" w:type="dxa"/>
            <w:gridSpan w:val="2"/>
            <w:hideMark/>
          </w:tcPr>
          <w:p w14:paraId="0418EAB8" w14:textId="45897257" w:rsidR="00E35844" w:rsidRPr="00B47F53" w:rsidRDefault="00BB6E74" w:rsidP="00BB6E74">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                 </w:t>
            </w:r>
            <w:r w:rsidR="008368FA" w:rsidRPr="008368FA">
              <w:rPr>
                <w:rFonts w:ascii="Times New Roman" w:hAnsi="Times New Roman" w:cs="Times New Roman"/>
                <w:sz w:val="20"/>
                <w:szCs w:val="20"/>
              </w:rPr>
              <w:t>18.24%</w:t>
            </w:r>
            <w:r w:rsidR="008368FA" w:rsidRPr="008368FA">
              <w:rPr>
                <w:rFonts w:ascii="Times New Roman" w:hAnsi="Times New Roman" w:cs="Times New Roman"/>
                <w:sz w:val="20"/>
                <w:szCs w:val="20"/>
              </w:rPr>
              <w:tab/>
            </w:r>
          </w:p>
        </w:tc>
      </w:tr>
      <w:tr w:rsidR="00E35844" w:rsidRPr="00B47F53" w14:paraId="64DBF1B2" w14:textId="77777777" w:rsidTr="00E35844">
        <w:trPr>
          <w:trHeight w:val="600"/>
        </w:trPr>
        <w:tc>
          <w:tcPr>
            <w:tcW w:w="1312" w:type="dxa"/>
            <w:hideMark/>
          </w:tcPr>
          <w:p w14:paraId="2467CF5C" w14:textId="37ACBFE7" w:rsidR="00E35844" w:rsidRPr="00B47F53" w:rsidRDefault="00E35844" w:rsidP="00E35844">
            <w:pPr>
              <w:rPr>
                <w:rFonts w:ascii="Times New Roman" w:hAnsi="Times New Roman" w:cs="Times New Roman"/>
                <w:sz w:val="20"/>
                <w:szCs w:val="20"/>
              </w:rPr>
            </w:pPr>
            <w:r w:rsidRPr="0026289E">
              <w:t>63</w:t>
            </w:r>
          </w:p>
        </w:tc>
        <w:tc>
          <w:tcPr>
            <w:tcW w:w="5989" w:type="dxa"/>
            <w:hideMark/>
          </w:tcPr>
          <w:p w14:paraId="3D8AD151" w14:textId="77777777" w:rsidR="00E35844" w:rsidRPr="00B47F53" w:rsidRDefault="00E35844" w:rsidP="00E35844">
            <w:pPr>
              <w:rPr>
                <w:rFonts w:ascii="Times New Roman" w:hAnsi="Times New Roman" w:cs="Times New Roman"/>
                <w:i/>
                <w:iCs/>
                <w:sz w:val="20"/>
                <w:szCs w:val="20"/>
              </w:rPr>
            </w:pPr>
            <w:r w:rsidRPr="00B47F53">
              <w:rPr>
                <w:rFonts w:ascii="Times New Roman" w:hAnsi="Times New Roman" w:cs="Times New Roman"/>
                <w:i/>
                <w:iCs/>
                <w:sz w:val="20"/>
                <w:szCs w:val="20"/>
              </w:rPr>
              <w:t>Institution specific buffer requirement (minimum CET1 CAPITAL requirement plus capital conservation buffer plus countercyclical buffer requirements plus G-SIB buffer requirement, expressed as a percentage of risk weighted assets)</w:t>
            </w:r>
          </w:p>
        </w:tc>
        <w:tc>
          <w:tcPr>
            <w:tcW w:w="1715" w:type="dxa"/>
            <w:gridSpan w:val="2"/>
            <w:hideMark/>
          </w:tcPr>
          <w:p w14:paraId="118CE28D"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w:t>
            </w:r>
          </w:p>
        </w:tc>
      </w:tr>
      <w:tr w:rsidR="00E35844" w:rsidRPr="00B47F53" w14:paraId="75EDDA97" w14:textId="77777777" w:rsidTr="00E35844">
        <w:trPr>
          <w:trHeight w:val="600"/>
        </w:trPr>
        <w:tc>
          <w:tcPr>
            <w:tcW w:w="1312" w:type="dxa"/>
            <w:hideMark/>
          </w:tcPr>
          <w:p w14:paraId="64D41586" w14:textId="46D9C01B" w:rsidR="00E35844" w:rsidRPr="00B47F53" w:rsidRDefault="00E35844" w:rsidP="00E35844">
            <w:pPr>
              <w:rPr>
                <w:rFonts w:ascii="Times New Roman" w:hAnsi="Times New Roman" w:cs="Times New Roman"/>
                <w:sz w:val="20"/>
                <w:szCs w:val="20"/>
              </w:rPr>
            </w:pPr>
            <w:r w:rsidRPr="0026289E">
              <w:t>64</w:t>
            </w:r>
          </w:p>
        </w:tc>
        <w:tc>
          <w:tcPr>
            <w:tcW w:w="5989" w:type="dxa"/>
            <w:hideMark/>
          </w:tcPr>
          <w:p w14:paraId="374AAA0B" w14:textId="77777777" w:rsidR="00E35844" w:rsidRPr="00B47F53" w:rsidRDefault="00E35844" w:rsidP="00E35844">
            <w:pPr>
              <w:rPr>
                <w:rFonts w:ascii="Times New Roman" w:hAnsi="Times New Roman" w:cs="Times New Roman"/>
                <w:i/>
                <w:iCs/>
                <w:sz w:val="20"/>
                <w:szCs w:val="20"/>
              </w:rPr>
            </w:pPr>
            <w:r w:rsidRPr="00B47F53">
              <w:rPr>
                <w:rFonts w:ascii="Times New Roman" w:hAnsi="Times New Roman" w:cs="Times New Roman"/>
                <w:i/>
                <w:iCs/>
                <w:sz w:val="20"/>
                <w:szCs w:val="20"/>
              </w:rPr>
              <w:t>of which: capital conservation buffer requirement</w:t>
            </w:r>
          </w:p>
        </w:tc>
        <w:tc>
          <w:tcPr>
            <w:tcW w:w="1715" w:type="dxa"/>
            <w:gridSpan w:val="2"/>
            <w:hideMark/>
          </w:tcPr>
          <w:p w14:paraId="466A4535" w14:textId="6A3FA500" w:rsidR="00E35844" w:rsidRPr="00B47F53" w:rsidRDefault="008368FA" w:rsidP="00E35844">
            <w:pPr>
              <w:pStyle w:val="NoSpacing"/>
              <w:jc w:val="right"/>
              <w:rPr>
                <w:rFonts w:ascii="Times New Roman" w:hAnsi="Times New Roman" w:cs="Times New Roman"/>
                <w:sz w:val="20"/>
                <w:szCs w:val="20"/>
              </w:rPr>
            </w:pPr>
            <w:r>
              <w:rPr>
                <w:rFonts w:ascii="Times New Roman" w:hAnsi="Times New Roman" w:cs="Times New Roman"/>
                <w:sz w:val="20"/>
                <w:szCs w:val="20"/>
              </w:rPr>
              <w:t xml:space="preserve">   </w:t>
            </w:r>
            <w:r w:rsidRPr="008368FA">
              <w:rPr>
                <w:rFonts w:ascii="Times New Roman" w:hAnsi="Times New Roman" w:cs="Times New Roman"/>
                <w:sz w:val="20"/>
                <w:szCs w:val="20"/>
              </w:rPr>
              <w:t>2.50%</w:t>
            </w:r>
            <w:r w:rsidRPr="008368FA">
              <w:rPr>
                <w:rFonts w:ascii="Times New Roman" w:hAnsi="Times New Roman" w:cs="Times New Roman"/>
                <w:sz w:val="20"/>
                <w:szCs w:val="20"/>
              </w:rPr>
              <w:tab/>
            </w:r>
          </w:p>
        </w:tc>
      </w:tr>
      <w:tr w:rsidR="00E35844" w:rsidRPr="00B47F53" w14:paraId="420EA6B1" w14:textId="77777777" w:rsidTr="00E35844">
        <w:trPr>
          <w:trHeight w:val="600"/>
        </w:trPr>
        <w:tc>
          <w:tcPr>
            <w:tcW w:w="1312" w:type="dxa"/>
            <w:hideMark/>
          </w:tcPr>
          <w:p w14:paraId="40E7D8FA" w14:textId="177FD1A6" w:rsidR="00E35844" w:rsidRPr="00B47F53" w:rsidRDefault="00E35844" w:rsidP="00E35844">
            <w:pPr>
              <w:rPr>
                <w:rFonts w:ascii="Times New Roman" w:hAnsi="Times New Roman" w:cs="Times New Roman"/>
                <w:sz w:val="20"/>
                <w:szCs w:val="20"/>
              </w:rPr>
            </w:pPr>
            <w:r w:rsidRPr="0026289E">
              <w:t>65</w:t>
            </w:r>
          </w:p>
        </w:tc>
        <w:tc>
          <w:tcPr>
            <w:tcW w:w="5989" w:type="dxa"/>
            <w:hideMark/>
          </w:tcPr>
          <w:p w14:paraId="197BCE0F" w14:textId="77777777" w:rsidR="00E35844" w:rsidRPr="00B47F53" w:rsidRDefault="00E35844" w:rsidP="00E35844">
            <w:pPr>
              <w:rPr>
                <w:rFonts w:ascii="Times New Roman" w:hAnsi="Times New Roman" w:cs="Times New Roman"/>
                <w:i/>
                <w:iCs/>
                <w:sz w:val="20"/>
                <w:szCs w:val="20"/>
              </w:rPr>
            </w:pPr>
            <w:r w:rsidRPr="00B47F53">
              <w:rPr>
                <w:rFonts w:ascii="Times New Roman" w:hAnsi="Times New Roman" w:cs="Times New Roman"/>
                <w:i/>
                <w:iCs/>
                <w:sz w:val="20"/>
                <w:szCs w:val="20"/>
              </w:rPr>
              <w:t>of which: bank specific countercyclical buffer requirement</w:t>
            </w:r>
          </w:p>
        </w:tc>
        <w:tc>
          <w:tcPr>
            <w:tcW w:w="1715" w:type="dxa"/>
            <w:gridSpan w:val="2"/>
            <w:hideMark/>
          </w:tcPr>
          <w:p w14:paraId="3D9CC3C1"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4595FBDF" w14:textId="77777777" w:rsidTr="00E35844">
        <w:trPr>
          <w:trHeight w:val="600"/>
        </w:trPr>
        <w:tc>
          <w:tcPr>
            <w:tcW w:w="1312" w:type="dxa"/>
            <w:hideMark/>
          </w:tcPr>
          <w:p w14:paraId="471DBD80" w14:textId="4EB52303" w:rsidR="00E35844" w:rsidRPr="00B47F53" w:rsidRDefault="00E35844" w:rsidP="00E35844">
            <w:pPr>
              <w:rPr>
                <w:rFonts w:ascii="Times New Roman" w:hAnsi="Times New Roman" w:cs="Times New Roman"/>
                <w:sz w:val="20"/>
                <w:szCs w:val="20"/>
              </w:rPr>
            </w:pPr>
            <w:r w:rsidRPr="0026289E">
              <w:t>66</w:t>
            </w:r>
          </w:p>
        </w:tc>
        <w:tc>
          <w:tcPr>
            <w:tcW w:w="5989" w:type="dxa"/>
            <w:hideMark/>
          </w:tcPr>
          <w:p w14:paraId="5AFBB23D" w14:textId="77777777" w:rsidR="00E35844" w:rsidRPr="00B47F53" w:rsidRDefault="00E35844" w:rsidP="00E35844">
            <w:pPr>
              <w:rPr>
                <w:rFonts w:ascii="Times New Roman" w:hAnsi="Times New Roman" w:cs="Times New Roman"/>
                <w:i/>
                <w:iCs/>
                <w:sz w:val="20"/>
                <w:szCs w:val="20"/>
              </w:rPr>
            </w:pPr>
            <w:r w:rsidRPr="00B47F53">
              <w:rPr>
                <w:rFonts w:ascii="Times New Roman" w:hAnsi="Times New Roman" w:cs="Times New Roman"/>
                <w:i/>
                <w:iCs/>
                <w:sz w:val="20"/>
                <w:szCs w:val="20"/>
              </w:rPr>
              <w:t>of which: G-SIB buffer requirement</w:t>
            </w:r>
          </w:p>
        </w:tc>
        <w:tc>
          <w:tcPr>
            <w:tcW w:w="1715" w:type="dxa"/>
            <w:gridSpan w:val="2"/>
            <w:hideMark/>
          </w:tcPr>
          <w:p w14:paraId="04F1A6BB" w14:textId="77777777" w:rsidR="00E35844" w:rsidRPr="00B47F53" w:rsidRDefault="00E35844" w:rsidP="00E35844">
            <w:pPr>
              <w:pStyle w:val="NoSpacing"/>
              <w:jc w:val="right"/>
              <w:rPr>
                <w:rFonts w:ascii="Times New Roman" w:hAnsi="Times New Roman" w:cs="Times New Roman"/>
                <w:i/>
                <w:iCs/>
                <w:sz w:val="20"/>
                <w:szCs w:val="20"/>
              </w:rPr>
            </w:pPr>
            <w:r w:rsidRPr="00B47F53">
              <w:rPr>
                <w:rFonts w:ascii="Times New Roman" w:hAnsi="Times New Roman" w:cs="Times New Roman"/>
                <w:i/>
                <w:iCs/>
                <w:sz w:val="20"/>
                <w:szCs w:val="20"/>
              </w:rPr>
              <w:t xml:space="preserve">                          -   </w:t>
            </w:r>
          </w:p>
        </w:tc>
      </w:tr>
      <w:tr w:rsidR="00E35844" w:rsidRPr="00B47F53" w14:paraId="49AA0BBF" w14:textId="77777777" w:rsidTr="00E35844">
        <w:trPr>
          <w:trHeight w:val="600"/>
        </w:trPr>
        <w:tc>
          <w:tcPr>
            <w:tcW w:w="1312" w:type="dxa"/>
            <w:hideMark/>
          </w:tcPr>
          <w:p w14:paraId="25EC6CBC" w14:textId="0E453D27" w:rsidR="00E35844" w:rsidRPr="00B47F53" w:rsidRDefault="00E35844" w:rsidP="00E35844">
            <w:pPr>
              <w:rPr>
                <w:rFonts w:ascii="Times New Roman" w:hAnsi="Times New Roman" w:cs="Times New Roman"/>
                <w:sz w:val="20"/>
                <w:szCs w:val="20"/>
              </w:rPr>
            </w:pPr>
            <w:r w:rsidRPr="0026289E">
              <w:t>67</w:t>
            </w:r>
          </w:p>
        </w:tc>
        <w:tc>
          <w:tcPr>
            <w:tcW w:w="5989" w:type="dxa"/>
            <w:hideMark/>
          </w:tcPr>
          <w:p w14:paraId="7A143026" w14:textId="77777777" w:rsidR="00E35844" w:rsidRPr="00B47F53" w:rsidRDefault="00E35844" w:rsidP="00E35844">
            <w:pPr>
              <w:rPr>
                <w:rFonts w:ascii="Times New Roman" w:hAnsi="Times New Roman" w:cs="Times New Roman"/>
                <w:b/>
                <w:bCs/>
                <w:i/>
                <w:iCs/>
                <w:sz w:val="20"/>
                <w:szCs w:val="20"/>
              </w:rPr>
            </w:pPr>
            <w:r w:rsidRPr="00B47F53">
              <w:rPr>
                <w:rFonts w:ascii="Times New Roman" w:hAnsi="Times New Roman" w:cs="Times New Roman"/>
                <w:b/>
                <w:bCs/>
                <w:i/>
                <w:iCs/>
                <w:sz w:val="20"/>
                <w:szCs w:val="20"/>
              </w:rPr>
              <w:t> </w:t>
            </w:r>
          </w:p>
        </w:tc>
        <w:tc>
          <w:tcPr>
            <w:tcW w:w="1715" w:type="dxa"/>
            <w:gridSpan w:val="2"/>
            <w:hideMark/>
          </w:tcPr>
          <w:p w14:paraId="7388296C"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w:t>
            </w:r>
          </w:p>
        </w:tc>
      </w:tr>
      <w:tr w:rsidR="00E35844" w:rsidRPr="00B47F53" w14:paraId="033DA6EB" w14:textId="77777777" w:rsidTr="00E35844">
        <w:trPr>
          <w:trHeight w:val="600"/>
        </w:trPr>
        <w:tc>
          <w:tcPr>
            <w:tcW w:w="1312" w:type="dxa"/>
            <w:shd w:val="clear" w:color="auto" w:fill="92D050"/>
            <w:hideMark/>
          </w:tcPr>
          <w:p w14:paraId="1B916D70" w14:textId="055781B9" w:rsidR="00E35844" w:rsidRPr="00B47F53" w:rsidRDefault="00E35844" w:rsidP="00E35844">
            <w:pPr>
              <w:rPr>
                <w:rFonts w:ascii="Times New Roman" w:hAnsi="Times New Roman" w:cs="Times New Roman"/>
                <w:sz w:val="20"/>
                <w:szCs w:val="20"/>
              </w:rPr>
            </w:pPr>
            <w:r w:rsidRPr="0026289E">
              <w:t>68</w:t>
            </w:r>
          </w:p>
        </w:tc>
        <w:tc>
          <w:tcPr>
            <w:tcW w:w="5989" w:type="dxa"/>
            <w:shd w:val="clear" w:color="auto" w:fill="92D050"/>
            <w:hideMark/>
          </w:tcPr>
          <w:p w14:paraId="35202D5E" w14:textId="77777777" w:rsidR="00E35844" w:rsidRPr="00B47F53" w:rsidRDefault="00E35844" w:rsidP="00E35844">
            <w:pPr>
              <w:rPr>
                <w:rFonts w:ascii="Times New Roman" w:hAnsi="Times New Roman" w:cs="Times New Roman"/>
                <w:b/>
                <w:bCs/>
                <w:i/>
                <w:iCs/>
                <w:sz w:val="20"/>
                <w:szCs w:val="20"/>
              </w:rPr>
            </w:pPr>
            <w:r w:rsidRPr="00B47F53">
              <w:rPr>
                <w:rFonts w:ascii="Times New Roman" w:hAnsi="Times New Roman" w:cs="Times New Roman"/>
                <w:b/>
                <w:bCs/>
                <w:i/>
                <w:iCs/>
                <w:sz w:val="20"/>
                <w:szCs w:val="20"/>
              </w:rPr>
              <w:t>Common Equity Tier I available to meet buffers (as a percentage of risk weighted assets)</w:t>
            </w:r>
          </w:p>
        </w:tc>
        <w:tc>
          <w:tcPr>
            <w:tcW w:w="1036" w:type="dxa"/>
            <w:shd w:val="clear" w:color="auto" w:fill="92D050"/>
            <w:hideMark/>
          </w:tcPr>
          <w:p w14:paraId="2E793429" w14:textId="77777777" w:rsidR="00E35844" w:rsidRPr="00B47F53" w:rsidRDefault="00E35844" w:rsidP="00E35844">
            <w:pPr>
              <w:rPr>
                <w:rFonts w:ascii="Times New Roman" w:hAnsi="Times New Roman" w:cs="Times New Roman"/>
                <w:b/>
                <w:bCs/>
                <w:i/>
                <w:iCs/>
                <w:sz w:val="20"/>
                <w:szCs w:val="20"/>
              </w:rPr>
            </w:pPr>
            <w:r w:rsidRPr="00B47F53">
              <w:rPr>
                <w:rFonts w:ascii="Times New Roman" w:hAnsi="Times New Roman" w:cs="Times New Roman"/>
                <w:b/>
                <w:bCs/>
                <w:i/>
                <w:iCs/>
                <w:sz w:val="20"/>
                <w:szCs w:val="20"/>
              </w:rPr>
              <w:t> </w:t>
            </w:r>
          </w:p>
        </w:tc>
        <w:tc>
          <w:tcPr>
            <w:tcW w:w="679" w:type="dxa"/>
            <w:shd w:val="clear" w:color="auto" w:fill="92D050"/>
            <w:hideMark/>
          </w:tcPr>
          <w:p w14:paraId="7AD2C788" w14:textId="77777777" w:rsidR="00E35844" w:rsidRPr="00B47F53" w:rsidRDefault="00E35844" w:rsidP="00E35844">
            <w:pPr>
              <w:rPr>
                <w:rFonts w:ascii="Times New Roman" w:hAnsi="Times New Roman" w:cs="Times New Roman"/>
                <w:b/>
                <w:bCs/>
                <w:i/>
                <w:iCs/>
                <w:sz w:val="20"/>
                <w:szCs w:val="20"/>
              </w:rPr>
            </w:pPr>
            <w:r w:rsidRPr="00B47F53">
              <w:rPr>
                <w:rFonts w:ascii="Times New Roman" w:hAnsi="Times New Roman" w:cs="Times New Roman"/>
                <w:b/>
                <w:bCs/>
                <w:i/>
                <w:iCs/>
                <w:sz w:val="20"/>
                <w:szCs w:val="20"/>
              </w:rPr>
              <w:t> </w:t>
            </w:r>
          </w:p>
        </w:tc>
      </w:tr>
      <w:tr w:rsidR="00E35844" w:rsidRPr="00B47F53" w14:paraId="26A2B663" w14:textId="77777777" w:rsidTr="00E35844">
        <w:trPr>
          <w:trHeight w:val="600"/>
        </w:trPr>
        <w:tc>
          <w:tcPr>
            <w:tcW w:w="1312" w:type="dxa"/>
            <w:hideMark/>
          </w:tcPr>
          <w:p w14:paraId="6F39383F" w14:textId="71ABEA22" w:rsidR="00E35844" w:rsidRPr="00B47F53" w:rsidRDefault="00E35844" w:rsidP="00E35844">
            <w:pPr>
              <w:rPr>
                <w:rFonts w:ascii="Times New Roman" w:hAnsi="Times New Roman" w:cs="Times New Roman"/>
                <w:sz w:val="20"/>
                <w:szCs w:val="20"/>
              </w:rPr>
            </w:pPr>
          </w:p>
        </w:tc>
        <w:tc>
          <w:tcPr>
            <w:tcW w:w="5989" w:type="dxa"/>
            <w:hideMark/>
          </w:tcPr>
          <w:p w14:paraId="012FAF8C" w14:textId="77777777" w:rsidR="00E35844" w:rsidRPr="00B47F53" w:rsidRDefault="00E35844" w:rsidP="00E35844">
            <w:pPr>
              <w:rPr>
                <w:rFonts w:ascii="Times New Roman" w:hAnsi="Times New Roman" w:cs="Times New Roman"/>
                <w:i/>
                <w:iCs/>
                <w:sz w:val="20"/>
                <w:szCs w:val="20"/>
              </w:rPr>
            </w:pPr>
            <w:r w:rsidRPr="00B47F53">
              <w:rPr>
                <w:rFonts w:ascii="Times New Roman" w:hAnsi="Times New Roman" w:cs="Times New Roman"/>
                <w:i/>
                <w:iCs/>
                <w:sz w:val="20"/>
                <w:szCs w:val="20"/>
              </w:rPr>
              <w:t>National Common Equity Tier I minimum ratio (if different from Basel III minimum)</w:t>
            </w:r>
          </w:p>
        </w:tc>
        <w:tc>
          <w:tcPr>
            <w:tcW w:w="1715" w:type="dxa"/>
            <w:gridSpan w:val="2"/>
            <w:noWrap/>
            <w:hideMark/>
          </w:tcPr>
          <w:p w14:paraId="1D6E2C35"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4.50%</w:t>
            </w:r>
          </w:p>
        </w:tc>
      </w:tr>
      <w:tr w:rsidR="00E35844" w:rsidRPr="00B47F53" w14:paraId="4C788D32" w14:textId="77777777" w:rsidTr="00E35844">
        <w:trPr>
          <w:trHeight w:val="600"/>
        </w:trPr>
        <w:tc>
          <w:tcPr>
            <w:tcW w:w="1312" w:type="dxa"/>
            <w:hideMark/>
          </w:tcPr>
          <w:p w14:paraId="4B3BBDBB" w14:textId="03F7CE71" w:rsidR="00E35844" w:rsidRPr="00B47F53" w:rsidRDefault="00E35844" w:rsidP="00E35844">
            <w:pPr>
              <w:rPr>
                <w:rFonts w:ascii="Times New Roman" w:hAnsi="Times New Roman" w:cs="Times New Roman"/>
                <w:sz w:val="20"/>
                <w:szCs w:val="20"/>
              </w:rPr>
            </w:pPr>
            <w:r w:rsidRPr="0026289E">
              <w:t>69</w:t>
            </w:r>
          </w:p>
        </w:tc>
        <w:tc>
          <w:tcPr>
            <w:tcW w:w="5989" w:type="dxa"/>
            <w:hideMark/>
          </w:tcPr>
          <w:p w14:paraId="4DEA953F" w14:textId="77777777" w:rsidR="00E35844" w:rsidRPr="00B47F53" w:rsidRDefault="00E35844" w:rsidP="00E35844">
            <w:pPr>
              <w:rPr>
                <w:rFonts w:ascii="Times New Roman" w:hAnsi="Times New Roman" w:cs="Times New Roman"/>
                <w:i/>
                <w:iCs/>
                <w:sz w:val="20"/>
                <w:szCs w:val="20"/>
              </w:rPr>
            </w:pPr>
            <w:r w:rsidRPr="00B47F53">
              <w:rPr>
                <w:rFonts w:ascii="Times New Roman" w:hAnsi="Times New Roman" w:cs="Times New Roman"/>
                <w:i/>
                <w:iCs/>
                <w:sz w:val="20"/>
                <w:szCs w:val="20"/>
              </w:rPr>
              <w:t>National Tier I minimum ratio (if different from Basel III minimum)</w:t>
            </w:r>
          </w:p>
        </w:tc>
        <w:tc>
          <w:tcPr>
            <w:tcW w:w="1715" w:type="dxa"/>
            <w:gridSpan w:val="2"/>
            <w:hideMark/>
          </w:tcPr>
          <w:p w14:paraId="3B6C8008"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7.50%</w:t>
            </w:r>
          </w:p>
        </w:tc>
      </w:tr>
      <w:tr w:rsidR="00E35844" w:rsidRPr="00B47F53" w14:paraId="16851BD9" w14:textId="77777777" w:rsidTr="00E35844">
        <w:trPr>
          <w:trHeight w:val="600"/>
        </w:trPr>
        <w:tc>
          <w:tcPr>
            <w:tcW w:w="1312" w:type="dxa"/>
            <w:hideMark/>
          </w:tcPr>
          <w:p w14:paraId="47CD8C48" w14:textId="1AA0C6DC" w:rsidR="00E35844" w:rsidRPr="00B47F53" w:rsidRDefault="00E35844" w:rsidP="00E35844">
            <w:pPr>
              <w:rPr>
                <w:rFonts w:ascii="Times New Roman" w:hAnsi="Times New Roman" w:cs="Times New Roman"/>
                <w:sz w:val="20"/>
                <w:szCs w:val="20"/>
              </w:rPr>
            </w:pPr>
            <w:r w:rsidRPr="0026289E">
              <w:t>70</w:t>
            </w:r>
          </w:p>
        </w:tc>
        <w:tc>
          <w:tcPr>
            <w:tcW w:w="5989" w:type="dxa"/>
            <w:hideMark/>
          </w:tcPr>
          <w:p w14:paraId="338B8D2F" w14:textId="77777777" w:rsidR="00E35844" w:rsidRPr="00B47F53" w:rsidRDefault="00E35844" w:rsidP="00E35844">
            <w:pPr>
              <w:rPr>
                <w:rFonts w:ascii="Times New Roman" w:hAnsi="Times New Roman" w:cs="Times New Roman"/>
                <w:i/>
                <w:iCs/>
                <w:sz w:val="20"/>
                <w:szCs w:val="20"/>
              </w:rPr>
            </w:pPr>
            <w:r w:rsidRPr="00B47F53">
              <w:rPr>
                <w:rFonts w:ascii="Times New Roman" w:hAnsi="Times New Roman" w:cs="Times New Roman"/>
                <w:i/>
                <w:iCs/>
                <w:sz w:val="20"/>
                <w:szCs w:val="20"/>
              </w:rPr>
              <w:t>National total capital minimum ratio (if different from Basel III minimum)</w:t>
            </w:r>
          </w:p>
        </w:tc>
        <w:tc>
          <w:tcPr>
            <w:tcW w:w="1715" w:type="dxa"/>
            <w:gridSpan w:val="2"/>
            <w:hideMark/>
          </w:tcPr>
          <w:p w14:paraId="0BB4148D" w14:textId="62167D68"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12.50%</w:t>
            </w:r>
          </w:p>
        </w:tc>
      </w:tr>
      <w:tr w:rsidR="00E35844" w:rsidRPr="00B47F53" w14:paraId="5E30D355" w14:textId="77777777" w:rsidTr="00E35844">
        <w:trPr>
          <w:trHeight w:val="600"/>
        </w:trPr>
        <w:tc>
          <w:tcPr>
            <w:tcW w:w="1312" w:type="dxa"/>
            <w:shd w:val="clear" w:color="auto" w:fill="92D050"/>
            <w:hideMark/>
          </w:tcPr>
          <w:p w14:paraId="0B8A1745" w14:textId="187E58B6" w:rsidR="00E35844" w:rsidRPr="00B47F53" w:rsidRDefault="00E35844" w:rsidP="00E35844">
            <w:pPr>
              <w:rPr>
                <w:rFonts w:ascii="Times New Roman" w:hAnsi="Times New Roman" w:cs="Times New Roman"/>
                <w:sz w:val="20"/>
                <w:szCs w:val="20"/>
              </w:rPr>
            </w:pPr>
            <w:r w:rsidRPr="0026289E">
              <w:t>71</w:t>
            </w:r>
          </w:p>
        </w:tc>
        <w:tc>
          <w:tcPr>
            <w:tcW w:w="5989" w:type="dxa"/>
            <w:shd w:val="clear" w:color="auto" w:fill="92D050"/>
            <w:hideMark/>
          </w:tcPr>
          <w:p w14:paraId="4BAB77D3" w14:textId="77777777" w:rsidR="00E35844" w:rsidRPr="00B47F53" w:rsidRDefault="00E35844" w:rsidP="00E35844">
            <w:pPr>
              <w:rPr>
                <w:rFonts w:ascii="Times New Roman" w:hAnsi="Times New Roman" w:cs="Times New Roman"/>
                <w:b/>
                <w:bCs/>
                <w:i/>
                <w:iCs/>
                <w:sz w:val="20"/>
                <w:szCs w:val="20"/>
              </w:rPr>
            </w:pPr>
            <w:r w:rsidRPr="00B47F53">
              <w:rPr>
                <w:rFonts w:ascii="Times New Roman" w:hAnsi="Times New Roman" w:cs="Times New Roman"/>
                <w:b/>
                <w:bCs/>
                <w:i/>
                <w:iCs/>
                <w:sz w:val="20"/>
                <w:szCs w:val="20"/>
              </w:rPr>
              <w:t>Amounts below the thresholds for deduction (before risk-weighting)</w:t>
            </w:r>
          </w:p>
        </w:tc>
        <w:tc>
          <w:tcPr>
            <w:tcW w:w="1715" w:type="dxa"/>
            <w:gridSpan w:val="2"/>
            <w:shd w:val="clear" w:color="auto" w:fill="92D050"/>
            <w:hideMark/>
          </w:tcPr>
          <w:p w14:paraId="0C20B79E" w14:textId="77777777" w:rsidR="00E35844" w:rsidRPr="00B47F53" w:rsidRDefault="00E35844" w:rsidP="00E35844">
            <w:pPr>
              <w:pStyle w:val="NoSpacing"/>
              <w:jc w:val="right"/>
              <w:rPr>
                <w:rFonts w:ascii="Times New Roman" w:hAnsi="Times New Roman" w:cs="Times New Roman"/>
                <w:b/>
                <w:bCs/>
                <w:sz w:val="20"/>
                <w:szCs w:val="20"/>
              </w:rPr>
            </w:pPr>
            <w:r w:rsidRPr="00B47F53">
              <w:rPr>
                <w:rFonts w:ascii="Times New Roman" w:hAnsi="Times New Roman" w:cs="Times New Roman"/>
                <w:b/>
                <w:bCs/>
                <w:sz w:val="20"/>
                <w:szCs w:val="20"/>
              </w:rPr>
              <w:t> </w:t>
            </w:r>
          </w:p>
        </w:tc>
      </w:tr>
      <w:tr w:rsidR="00E35844" w:rsidRPr="00B47F53" w14:paraId="270F0882" w14:textId="77777777" w:rsidTr="00E35844">
        <w:trPr>
          <w:trHeight w:val="600"/>
        </w:trPr>
        <w:tc>
          <w:tcPr>
            <w:tcW w:w="1312" w:type="dxa"/>
            <w:hideMark/>
          </w:tcPr>
          <w:p w14:paraId="122840CB" w14:textId="1182BDF0" w:rsidR="00E35844" w:rsidRPr="00B47F53" w:rsidRDefault="00E35844" w:rsidP="00E35844">
            <w:pPr>
              <w:rPr>
                <w:rFonts w:ascii="Times New Roman" w:hAnsi="Times New Roman" w:cs="Times New Roman"/>
                <w:sz w:val="20"/>
                <w:szCs w:val="20"/>
              </w:rPr>
            </w:pPr>
          </w:p>
        </w:tc>
        <w:tc>
          <w:tcPr>
            <w:tcW w:w="5989" w:type="dxa"/>
            <w:hideMark/>
          </w:tcPr>
          <w:p w14:paraId="2D4A6837" w14:textId="77777777" w:rsidR="00E35844" w:rsidRPr="00B47F53" w:rsidRDefault="00E35844" w:rsidP="00E35844">
            <w:pPr>
              <w:rPr>
                <w:rFonts w:ascii="Times New Roman" w:hAnsi="Times New Roman" w:cs="Times New Roman"/>
                <w:i/>
                <w:iCs/>
                <w:sz w:val="20"/>
                <w:szCs w:val="20"/>
              </w:rPr>
            </w:pPr>
            <w:r w:rsidRPr="00B47F53">
              <w:rPr>
                <w:rFonts w:ascii="Times New Roman" w:hAnsi="Times New Roman" w:cs="Times New Roman"/>
                <w:i/>
                <w:iCs/>
                <w:sz w:val="20"/>
                <w:szCs w:val="20"/>
              </w:rPr>
              <w:t xml:space="preserve">Non-significant investments in the capital of other financials </w:t>
            </w:r>
          </w:p>
        </w:tc>
        <w:tc>
          <w:tcPr>
            <w:tcW w:w="1715" w:type="dxa"/>
            <w:gridSpan w:val="2"/>
            <w:hideMark/>
          </w:tcPr>
          <w:p w14:paraId="1A8CCFDD"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1BCBB780" w14:textId="77777777" w:rsidTr="00E35844">
        <w:trPr>
          <w:trHeight w:val="600"/>
        </w:trPr>
        <w:tc>
          <w:tcPr>
            <w:tcW w:w="1312" w:type="dxa"/>
            <w:hideMark/>
          </w:tcPr>
          <w:p w14:paraId="06C6380D" w14:textId="1106AEB0" w:rsidR="00E35844" w:rsidRPr="00B47F53" w:rsidRDefault="00E35844" w:rsidP="00E35844">
            <w:pPr>
              <w:rPr>
                <w:rFonts w:ascii="Times New Roman" w:hAnsi="Times New Roman" w:cs="Times New Roman"/>
                <w:sz w:val="20"/>
                <w:szCs w:val="20"/>
              </w:rPr>
            </w:pPr>
            <w:r w:rsidRPr="0026289E">
              <w:t>72</w:t>
            </w:r>
          </w:p>
        </w:tc>
        <w:tc>
          <w:tcPr>
            <w:tcW w:w="5989" w:type="dxa"/>
            <w:hideMark/>
          </w:tcPr>
          <w:p w14:paraId="7D60EF82" w14:textId="77777777" w:rsidR="00E35844" w:rsidRPr="00B47F53" w:rsidRDefault="00E35844" w:rsidP="00E35844">
            <w:pPr>
              <w:rPr>
                <w:rFonts w:ascii="Times New Roman" w:hAnsi="Times New Roman" w:cs="Times New Roman"/>
                <w:i/>
                <w:iCs/>
                <w:sz w:val="20"/>
                <w:szCs w:val="20"/>
              </w:rPr>
            </w:pPr>
            <w:r w:rsidRPr="00B47F53">
              <w:rPr>
                <w:rFonts w:ascii="Times New Roman" w:hAnsi="Times New Roman" w:cs="Times New Roman"/>
                <w:i/>
                <w:iCs/>
                <w:sz w:val="20"/>
                <w:szCs w:val="20"/>
              </w:rPr>
              <w:t>Significant investments in the common stock of financials</w:t>
            </w:r>
          </w:p>
        </w:tc>
        <w:tc>
          <w:tcPr>
            <w:tcW w:w="1715" w:type="dxa"/>
            <w:gridSpan w:val="2"/>
            <w:hideMark/>
          </w:tcPr>
          <w:p w14:paraId="0AD1558D"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3EB5BBA3" w14:textId="77777777" w:rsidTr="00E35844">
        <w:trPr>
          <w:trHeight w:val="600"/>
        </w:trPr>
        <w:tc>
          <w:tcPr>
            <w:tcW w:w="1312" w:type="dxa"/>
            <w:hideMark/>
          </w:tcPr>
          <w:p w14:paraId="714B6298" w14:textId="658465C7" w:rsidR="00E35844" w:rsidRPr="00B47F53" w:rsidRDefault="00E35844" w:rsidP="00E35844">
            <w:pPr>
              <w:rPr>
                <w:rFonts w:ascii="Times New Roman" w:hAnsi="Times New Roman" w:cs="Times New Roman"/>
                <w:sz w:val="20"/>
                <w:szCs w:val="20"/>
              </w:rPr>
            </w:pPr>
            <w:r w:rsidRPr="0026289E">
              <w:t>73</w:t>
            </w:r>
          </w:p>
        </w:tc>
        <w:tc>
          <w:tcPr>
            <w:tcW w:w="5989" w:type="dxa"/>
            <w:hideMark/>
          </w:tcPr>
          <w:p w14:paraId="74124ACA" w14:textId="77777777" w:rsidR="00E35844" w:rsidRPr="00B47F53" w:rsidRDefault="00E35844" w:rsidP="00E35844">
            <w:pPr>
              <w:rPr>
                <w:rFonts w:ascii="Times New Roman" w:hAnsi="Times New Roman" w:cs="Times New Roman"/>
                <w:i/>
                <w:iCs/>
                <w:sz w:val="20"/>
                <w:szCs w:val="20"/>
              </w:rPr>
            </w:pPr>
            <w:r w:rsidRPr="00B47F53">
              <w:rPr>
                <w:rFonts w:ascii="Times New Roman" w:hAnsi="Times New Roman" w:cs="Times New Roman"/>
                <w:i/>
                <w:iCs/>
                <w:sz w:val="20"/>
                <w:szCs w:val="20"/>
              </w:rPr>
              <w:t>Mortgage servicing rights (net of related tax liability)</w:t>
            </w:r>
          </w:p>
        </w:tc>
        <w:tc>
          <w:tcPr>
            <w:tcW w:w="1715" w:type="dxa"/>
            <w:gridSpan w:val="2"/>
            <w:hideMark/>
          </w:tcPr>
          <w:p w14:paraId="7CCC2509"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3DBB07B3" w14:textId="77777777" w:rsidTr="00E35844">
        <w:trPr>
          <w:trHeight w:val="600"/>
        </w:trPr>
        <w:tc>
          <w:tcPr>
            <w:tcW w:w="1312" w:type="dxa"/>
            <w:hideMark/>
          </w:tcPr>
          <w:p w14:paraId="5CEC2F4F" w14:textId="22A67916" w:rsidR="00E35844" w:rsidRPr="00B47F53" w:rsidRDefault="00E35844" w:rsidP="00E35844">
            <w:pPr>
              <w:rPr>
                <w:rFonts w:ascii="Times New Roman" w:hAnsi="Times New Roman" w:cs="Times New Roman"/>
                <w:sz w:val="20"/>
                <w:szCs w:val="20"/>
              </w:rPr>
            </w:pPr>
            <w:r w:rsidRPr="0026289E">
              <w:t>74</w:t>
            </w:r>
          </w:p>
        </w:tc>
        <w:tc>
          <w:tcPr>
            <w:tcW w:w="5989" w:type="dxa"/>
            <w:hideMark/>
          </w:tcPr>
          <w:p w14:paraId="6BDFD465" w14:textId="77777777" w:rsidR="00E35844" w:rsidRPr="00B47F53" w:rsidRDefault="00E35844" w:rsidP="00E35844">
            <w:pPr>
              <w:rPr>
                <w:rFonts w:ascii="Times New Roman" w:hAnsi="Times New Roman" w:cs="Times New Roman"/>
                <w:i/>
                <w:iCs/>
                <w:sz w:val="20"/>
                <w:szCs w:val="20"/>
              </w:rPr>
            </w:pPr>
            <w:r w:rsidRPr="00B47F53">
              <w:rPr>
                <w:rFonts w:ascii="Times New Roman" w:hAnsi="Times New Roman" w:cs="Times New Roman"/>
                <w:i/>
                <w:iCs/>
                <w:sz w:val="20"/>
                <w:szCs w:val="20"/>
              </w:rPr>
              <w:t>Deferred tax assets arising from temporary differences (net of related tax liability)</w:t>
            </w:r>
          </w:p>
        </w:tc>
        <w:tc>
          <w:tcPr>
            <w:tcW w:w="1715" w:type="dxa"/>
            <w:gridSpan w:val="2"/>
            <w:hideMark/>
          </w:tcPr>
          <w:p w14:paraId="04E419B6"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461CFAD8" w14:textId="77777777" w:rsidTr="00E35844">
        <w:trPr>
          <w:trHeight w:val="600"/>
        </w:trPr>
        <w:tc>
          <w:tcPr>
            <w:tcW w:w="1312" w:type="dxa"/>
            <w:shd w:val="clear" w:color="auto" w:fill="92D050"/>
            <w:hideMark/>
          </w:tcPr>
          <w:p w14:paraId="4B233ACA" w14:textId="37C8F81B" w:rsidR="00E35844" w:rsidRPr="00B47F53" w:rsidRDefault="00E35844" w:rsidP="00E35844">
            <w:pPr>
              <w:rPr>
                <w:rFonts w:ascii="Times New Roman" w:hAnsi="Times New Roman" w:cs="Times New Roman"/>
                <w:sz w:val="20"/>
                <w:szCs w:val="20"/>
              </w:rPr>
            </w:pPr>
            <w:r w:rsidRPr="0026289E">
              <w:t>75</w:t>
            </w:r>
          </w:p>
        </w:tc>
        <w:tc>
          <w:tcPr>
            <w:tcW w:w="5989" w:type="dxa"/>
            <w:shd w:val="clear" w:color="auto" w:fill="92D050"/>
            <w:hideMark/>
          </w:tcPr>
          <w:p w14:paraId="21932C47" w14:textId="77777777" w:rsidR="00E35844" w:rsidRPr="00B47F53" w:rsidRDefault="00E35844" w:rsidP="00E35844">
            <w:pPr>
              <w:rPr>
                <w:rFonts w:ascii="Times New Roman" w:hAnsi="Times New Roman" w:cs="Times New Roman"/>
                <w:b/>
                <w:bCs/>
                <w:i/>
                <w:iCs/>
                <w:sz w:val="20"/>
                <w:szCs w:val="20"/>
              </w:rPr>
            </w:pPr>
            <w:r w:rsidRPr="00B47F53">
              <w:rPr>
                <w:rFonts w:ascii="Times New Roman" w:hAnsi="Times New Roman" w:cs="Times New Roman"/>
                <w:b/>
                <w:bCs/>
                <w:i/>
                <w:iCs/>
                <w:sz w:val="20"/>
                <w:szCs w:val="20"/>
              </w:rPr>
              <w:t>Applicable caps on the inclusion of provisions in Tier II</w:t>
            </w:r>
          </w:p>
        </w:tc>
        <w:tc>
          <w:tcPr>
            <w:tcW w:w="1715" w:type="dxa"/>
            <w:gridSpan w:val="2"/>
            <w:shd w:val="clear" w:color="auto" w:fill="92D050"/>
            <w:hideMark/>
          </w:tcPr>
          <w:p w14:paraId="261671EB" w14:textId="77777777" w:rsidR="00E35844" w:rsidRPr="00B47F53" w:rsidRDefault="00E35844" w:rsidP="00E35844">
            <w:pPr>
              <w:pStyle w:val="NoSpacing"/>
              <w:jc w:val="right"/>
              <w:rPr>
                <w:rFonts w:ascii="Times New Roman" w:hAnsi="Times New Roman" w:cs="Times New Roman"/>
                <w:b/>
                <w:bCs/>
                <w:sz w:val="20"/>
                <w:szCs w:val="20"/>
              </w:rPr>
            </w:pPr>
            <w:r w:rsidRPr="00B47F53">
              <w:rPr>
                <w:rFonts w:ascii="Times New Roman" w:hAnsi="Times New Roman" w:cs="Times New Roman"/>
                <w:b/>
                <w:bCs/>
                <w:sz w:val="20"/>
                <w:szCs w:val="20"/>
              </w:rPr>
              <w:t> </w:t>
            </w:r>
          </w:p>
        </w:tc>
      </w:tr>
      <w:tr w:rsidR="00E35844" w:rsidRPr="00B47F53" w14:paraId="6AA93928" w14:textId="77777777" w:rsidTr="00E35844">
        <w:trPr>
          <w:trHeight w:val="600"/>
        </w:trPr>
        <w:tc>
          <w:tcPr>
            <w:tcW w:w="1312" w:type="dxa"/>
            <w:vMerge w:val="restart"/>
            <w:hideMark/>
          </w:tcPr>
          <w:p w14:paraId="17DB05C4" w14:textId="77777777" w:rsidR="00E35844" w:rsidRPr="00B47F53" w:rsidRDefault="00E35844" w:rsidP="00E35844">
            <w:pPr>
              <w:rPr>
                <w:rFonts w:ascii="Times New Roman" w:hAnsi="Times New Roman" w:cs="Times New Roman"/>
                <w:sz w:val="20"/>
                <w:szCs w:val="20"/>
              </w:rPr>
            </w:pPr>
          </w:p>
          <w:p w14:paraId="2875E6E2" w14:textId="4878ECBF" w:rsidR="00E35844" w:rsidRPr="00B47F53" w:rsidRDefault="00E35844" w:rsidP="00E35844">
            <w:pPr>
              <w:rPr>
                <w:rFonts w:ascii="Times New Roman" w:hAnsi="Times New Roman" w:cs="Times New Roman"/>
                <w:sz w:val="20"/>
                <w:szCs w:val="20"/>
              </w:rPr>
            </w:pPr>
            <w:r w:rsidRPr="0026289E">
              <w:t>76</w:t>
            </w:r>
          </w:p>
        </w:tc>
        <w:tc>
          <w:tcPr>
            <w:tcW w:w="5989" w:type="dxa"/>
            <w:hideMark/>
          </w:tcPr>
          <w:p w14:paraId="4E2722F3" w14:textId="77777777" w:rsidR="00E35844" w:rsidRPr="00B47F53" w:rsidRDefault="00E35844" w:rsidP="00E35844">
            <w:pPr>
              <w:rPr>
                <w:rFonts w:ascii="Times New Roman" w:hAnsi="Times New Roman" w:cs="Times New Roman"/>
                <w:i/>
                <w:iCs/>
                <w:sz w:val="20"/>
                <w:szCs w:val="20"/>
              </w:rPr>
            </w:pPr>
            <w:r w:rsidRPr="00B47F53">
              <w:rPr>
                <w:rFonts w:ascii="Times New Roman" w:hAnsi="Times New Roman" w:cs="Times New Roman"/>
                <w:i/>
                <w:iCs/>
                <w:sz w:val="20"/>
                <w:szCs w:val="20"/>
              </w:rPr>
              <w:t>Provisions eligible for inclusion in Tier II in respect of exposures subject to standardised approach (prior to application of cap)</w:t>
            </w:r>
          </w:p>
        </w:tc>
        <w:tc>
          <w:tcPr>
            <w:tcW w:w="1715" w:type="dxa"/>
            <w:gridSpan w:val="2"/>
            <w:vMerge w:val="restart"/>
            <w:hideMark/>
          </w:tcPr>
          <w:p w14:paraId="4E749C9E"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11D724BA" w14:textId="77777777" w:rsidTr="00E35844">
        <w:trPr>
          <w:trHeight w:val="270"/>
        </w:trPr>
        <w:tc>
          <w:tcPr>
            <w:tcW w:w="1312" w:type="dxa"/>
            <w:vMerge/>
            <w:hideMark/>
          </w:tcPr>
          <w:p w14:paraId="7902929D" w14:textId="77777777" w:rsidR="00E35844" w:rsidRPr="00B47F53" w:rsidRDefault="00E35844" w:rsidP="00E35844">
            <w:pPr>
              <w:rPr>
                <w:rFonts w:ascii="Times New Roman" w:hAnsi="Times New Roman" w:cs="Times New Roman"/>
                <w:sz w:val="20"/>
                <w:szCs w:val="20"/>
              </w:rPr>
            </w:pPr>
          </w:p>
        </w:tc>
        <w:tc>
          <w:tcPr>
            <w:tcW w:w="5989" w:type="dxa"/>
            <w:hideMark/>
          </w:tcPr>
          <w:p w14:paraId="72BF7E21" w14:textId="77777777" w:rsidR="00E35844" w:rsidRPr="00B47F53" w:rsidRDefault="00E35844" w:rsidP="00E35844">
            <w:pPr>
              <w:rPr>
                <w:rFonts w:ascii="Times New Roman" w:hAnsi="Times New Roman" w:cs="Times New Roman"/>
                <w:i/>
                <w:iCs/>
                <w:sz w:val="20"/>
                <w:szCs w:val="20"/>
              </w:rPr>
            </w:pPr>
            <w:r w:rsidRPr="00B47F53">
              <w:rPr>
                <w:rFonts w:ascii="Times New Roman" w:hAnsi="Times New Roman" w:cs="Times New Roman"/>
                <w:i/>
                <w:iCs/>
                <w:sz w:val="20"/>
                <w:szCs w:val="20"/>
              </w:rPr>
              <w:t> </w:t>
            </w:r>
          </w:p>
        </w:tc>
        <w:tc>
          <w:tcPr>
            <w:tcW w:w="1715" w:type="dxa"/>
            <w:gridSpan w:val="2"/>
            <w:vMerge/>
            <w:hideMark/>
          </w:tcPr>
          <w:p w14:paraId="3756A3D0" w14:textId="77777777" w:rsidR="00E35844" w:rsidRPr="00B47F53" w:rsidRDefault="00E35844" w:rsidP="00E35844">
            <w:pPr>
              <w:pStyle w:val="NoSpacing"/>
              <w:jc w:val="right"/>
              <w:rPr>
                <w:rFonts w:ascii="Times New Roman" w:hAnsi="Times New Roman" w:cs="Times New Roman"/>
                <w:sz w:val="20"/>
                <w:szCs w:val="20"/>
              </w:rPr>
            </w:pPr>
          </w:p>
        </w:tc>
      </w:tr>
      <w:tr w:rsidR="00E35844" w:rsidRPr="00B47F53" w14:paraId="04303730" w14:textId="77777777" w:rsidTr="00E35844">
        <w:trPr>
          <w:trHeight w:val="600"/>
        </w:trPr>
        <w:tc>
          <w:tcPr>
            <w:tcW w:w="1312" w:type="dxa"/>
            <w:hideMark/>
          </w:tcPr>
          <w:p w14:paraId="05A8B5F6" w14:textId="158D747F" w:rsidR="00E35844" w:rsidRPr="00B47F53" w:rsidRDefault="00E35844" w:rsidP="00E35844">
            <w:pPr>
              <w:rPr>
                <w:rFonts w:ascii="Times New Roman" w:hAnsi="Times New Roman" w:cs="Times New Roman"/>
                <w:sz w:val="20"/>
                <w:szCs w:val="20"/>
              </w:rPr>
            </w:pPr>
          </w:p>
        </w:tc>
        <w:tc>
          <w:tcPr>
            <w:tcW w:w="5989" w:type="dxa"/>
            <w:hideMark/>
          </w:tcPr>
          <w:p w14:paraId="34594F4C" w14:textId="77777777" w:rsidR="00E35844" w:rsidRPr="00B47F53" w:rsidRDefault="00E35844" w:rsidP="00E35844">
            <w:pPr>
              <w:rPr>
                <w:rFonts w:ascii="Times New Roman" w:hAnsi="Times New Roman" w:cs="Times New Roman"/>
                <w:i/>
                <w:iCs/>
                <w:sz w:val="20"/>
                <w:szCs w:val="20"/>
              </w:rPr>
            </w:pPr>
            <w:r w:rsidRPr="00B47F53">
              <w:rPr>
                <w:rFonts w:ascii="Times New Roman" w:hAnsi="Times New Roman" w:cs="Times New Roman"/>
                <w:i/>
                <w:iCs/>
                <w:sz w:val="20"/>
                <w:szCs w:val="20"/>
              </w:rPr>
              <w:t>Cap on inclusion of provisions in Tier II under standardised approach</w:t>
            </w:r>
          </w:p>
        </w:tc>
        <w:tc>
          <w:tcPr>
            <w:tcW w:w="1715" w:type="dxa"/>
            <w:gridSpan w:val="2"/>
            <w:hideMark/>
          </w:tcPr>
          <w:p w14:paraId="6143E189"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27820117" w14:textId="77777777" w:rsidTr="00E35844">
        <w:trPr>
          <w:trHeight w:val="600"/>
        </w:trPr>
        <w:tc>
          <w:tcPr>
            <w:tcW w:w="1312" w:type="dxa"/>
            <w:hideMark/>
          </w:tcPr>
          <w:p w14:paraId="48C1EDED" w14:textId="60F0D342" w:rsidR="00E35844" w:rsidRPr="00B47F53" w:rsidRDefault="00E35844" w:rsidP="00E35844">
            <w:pPr>
              <w:rPr>
                <w:rFonts w:ascii="Times New Roman" w:hAnsi="Times New Roman" w:cs="Times New Roman"/>
                <w:sz w:val="20"/>
                <w:szCs w:val="20"/>
              </w:rPr>
            </w:pPr>
            <w:r w:rsidRPr="0026289E">
              <w:t>77</w:t>
            </w:r>
          </w:p>
        </w:tc>
        <w:tc>
          <w:tcPr>
            <w:tcW w:w="5989" w:type="dxa"/>
            <w:hideMark/>
          </w:tcPr>
          <w:p w14:paraId="52D16D7F" w14:textId="77777777" w:rsidR="00E35844" w:rsidRPr="00B47F53" w:rsidRDefault="00E35844" w:rsidP="00E35844">
            <w:pPr>
              <w:rPr>
                <w:rFonts w:ascii="Times New Roman" w:hAnsi="Times New Roman" w:cs="Times New Roman"/>
                <w:i/>
                <w:iCs/>
                <w:sz w:val="20"/>
                <w:szCs w:val="20"/>
              </w:rPr>
            </w:pPr>
            <w:r w:rsidRPr="00B47F53">
              <w:rPr>
                <w:rFonts w:ascii="Times New Roman" w:hAnsi="Times New Roman" w:cs="Times New Roman"/>
                <w:i/>
                <w:iCs/>
                <w:sz w:val="20"/>
                <w:szCs w:val="20"/>
              </w:rPr>
              <w:t>Provisions eligible for inclusion in Tier II in respect of exposures subject to internal ratings-based approach (prior to application of cap)</w:t>
            </w:r>
          </w:p>
        </w:tc>
        <w:tc>
          <w:tcPr>
            <w:tcW w:w="1715" w:type="dxa"/>
            <w:gridSpan w:val="2"/>
            <w:hideMark/>
          </w:tcPr>
          <w:p w14:paraId="47627727"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69641238" w14:textId="77777777" w:rsidTr="00E35844">
        <w:trPr>
          <w:trHeight w:val="600"/>
        </w:trPr>
        <w:tc>
          <w:tcPr>
            <w:tcW w:w="1312" w:type="dxa"/>
            <w:hideMark/>
          </w:tcPr>
          <w:p w14:paraId="417094BD" w14:textId="2D66FD67" w:rsidR="00E35844" w:rsidRPr="00B47F53" w:rsidRDefault="00E35844" w:rsidP="00E35844">
            <w:pPr>
              <w:rPr>
                <w:rFonts w:ascii="Times New Roman" w:hAnsi="Times New Roman" w:cs="Times New Roman"/>
                <w:sz w:val="20"/>
                <w:szCs w:val="20"/>
              </w:rPr>
            </w:pPr>
            <w:r w:rsidRPr="0026289E">
              <w:t>78</w:t>
            </w:r>
          </w:p>
        </w:tc>
        <w:tc>
          <w:tcPr>
            <w:tcW w:w="5989" w:type="dxa"/>
            <w:hideMark/>
          </w:tcPr>
          <w:p w14:paraId="1706F825" w14:textId="77777777" w:rsidR="00E35844" w:rsidRPr="00B47F53" w:rsidRDefault="00E35844" w:rsidP="00E35844">
            <w:pPr>
              <w:rPr>
                <w:rFonts w:ascii="Times New Roman" w:hAnsi="Times New Roman" w:cs="Times New Roman"/>
                <w:i/>
                <w:iCs/>
                <w:sz w:val="20"/>
                <w:szCs w:val="20"/>
              </w:rPr>
            </w:pPr>
            <w:r w:rsidRPr="00B47F53">
              <w:rPr>
                <w:rFonts w:ascii="Times New Roman" w:hAnsi="Times New Roman" w:cs="Times New Roman"/>
                <w:i/>
                <w:iCs/>
                <w:sz w:val="20"/>
                <w:szCs w:val="20"/>
              </w:rPr>
              <w:t>Cap for inclusion of provisions in Tier II under internal ratings-based approach</w:t>
            </w:r>
          </w:p>
        </w:tc>
        <w:tc>
          <w:tcPr>
            <w:tcW w:w="1715" w:type="dxa"/>
            <w:gridSpan w:val="2"/>
            <w:hideMark/>
          </w:tcPr>
          <w:p w14:paraId="016A62FC"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73C25DC5" w14:textId="77777777" w:rsidTr="00E35844">
        <w:trPr>
          <w:trHeight w:val="600"/>
        </w:trPr>
        <w:tc>
          <w:tcPr>
            <w:tcW w:w="1312" w:type="dxa"/>
            <w:shd w:val="clear" w:color="auto" w:fill="92D050"/>
            <w:hideMark/>
          </w:tcPr>
          <w:p w14:paraId="3F1BE2C9" w14:textId="16D376EE" w:rsidR="00E35844" w:rsidRPr="00B47F53" w:rsidRDefault="00E35844" w:rsidP="00E35844">
            <w:pPr>
              <w:rPr>
                <w:rFonts w:ascii="Times New Roman" w:hAnsi="Times New Roman" w:cs="Times New Roman"/>
                <w:sz w:val="20"/>
                <w:szCs w:val="20"/>
              </w:rPr>
            </w:pPr>
            <w:r w:rsidRPr="0026289E">
              <w:t>79</w:t>
            </w:r>
          </w:p>
        </w:tc>
        <w:tc>
          <w:tcPr>
            <w:tcW w:w="5989" w:type="dxa"/>
            <w:shd w:val="clear" w:color="auto" w:fill="92D050"/>
            <w:hideMark/>
          </w:tcPr>
          <w:p w14:paraId="2BD8024D" w14:textId="52D6C391" w:rsidR="00E35844" w:rsidRPr="00B47F53" w:rsidRDefault="00E35844" w:rsidP="00E35844">
            <w:pPr>
              <w:rPr>
                <w:rFonts w:ascii="Times New Roman" w:hAnsi="Times New Roman" w:cs="Times New Roman"/>
                <w:b/>
                <w:bCs/>
                <w:i/>
                <w:iCs/>
                <w:sz w:val="20"/>
                <w:szCs w:val="20"/>
              </w:rPr>
            </w:pPr>
            <w:r w:rsidRPr="00B47F53">
              <w:rPr>
                <w:rFonts w:ascii="Times New Roman" w:hAnsi="Times New Roman" w:cs="Times New Roman"/>
                <w:b/>
                <w:bCs/>
                <w:i/>
                <w:iCs/>
                <w:sz w:val="20"/>
                <w:szCs w:val="20"/>
              </w:rPr>
              <w:t xml:space="preserve">     Capital instruments subject to phase-out arrangements (only applicable between 1 Jan 2015 and 1 Jan 2020)</w:t>
            </w:r>
          </w:p>
        </w:tc>
        <w:tc>
          <w:tcPr>
            <w:tcW w:w="1715" w:type="dxa"/>
            <w:gridSpan w:val="2"/>
            <w:shd w:val="clear" w:color="auto" w:fill="92D050"/>
            <w:hideMark/>
          </w:tcPr>
          <w:p w14:paraId="18DD102D" w14:textId="77777777" w:rsidR="00E35844" w:rsidRPr="00B47F53" w:rsidRDefault="00E35844" w:rsidP="00E35844">
            <w:pPr>
              <w:pStyle w:val="NoSpacing"/>
              <w:jc w:val="right"/>
              <w:rPr>
                <w:rFonts w:ascii="Times New Roman" w:hAnsi="Times New Roman" w:cs="Times New Roman"/>
                <w:b/>
                <w:bCs/>
                <w:sz w:val="20"/>
                <w:szCs w:val="20"/>
              </w:rPr>
            </w:pPr>
            <w:r w:rsidRPr="00B47F53">
              <w:rPr>
                <w:rFonts w:ascii="Times New Roman" w:hAnsi="Times New Roman" w:cs="Times New Roman"/>
                <w:b/>
                <w:bCs/>
                <w:sz w:val="20"/>
                <w:szCs w:val="20"/>
              </w:rPr>
              <w:t> </w:t>
            </w:r>
          </w:p>
        </w:tc>
      </w:tr>
      <w:tr w:rsidR="00E35844" w:rsidRPr="00B47F53" w14:paraId="4CE83E7B" w14:textId="77777777" w:rsidTr="00E35844">
        <w:trPr>
          <w:trHeight w:val="600"/>
        </w:trPr>
        <w:tc>
          <w:tcPr>
            <w:tcW w:w="1312" w:type="dxa"/>
            <w:hideMark/>
          </w:tcPr>
          <w:p w14:paraId="02943D17" w14:textId="2EA3EF04" w:rsidR="00E35844" w:rsidRPr="00B47F53" w:rsidRDefault="00E35844" w:rsidP="00E35844">
            <w:pPr>
              <w:rPr>
                <w:rFonts w:ascii="Times New Roman" w:hAnsi="Times New Roman" w:cs="Times New Roman"/>
                <w:sz w:val="20"/>
                <w:szCs w:val="20"/>
              </w:rPr>
            </w:pPr>
          </w:p>
        </w:tc>
        <w:tc>
          <w:tcPr>
            <w:tcW w:w="5989" w:type="dxa"/>
            <w:hideMark/>
          </w:tcPr>
          <w:p w14:paraId="0BF84BD6" w14:textId="77777777" w:rsidR="00E35844" w:rsidRPr="00B47F53" w:rsidRDefault="00E35844" w:rsidP="00E35844">
            <w:pPr>
              <w:rPr>
                <w:rFonts w:ascii="Times New Roman" w:hAnsi="Times New Roman" w:cs="Times New Roman"/>
                <w:i/>
                <w:iCs/>
                <w:sz w:val="20"/>
                <w:szCs w:val="20"/>
              </w:rPr>
            </w:pPr>
            <w:r w:rsidRPr="00B47F53">
              <w:rPr>
                <w:rFonts w:ascii="Times New Roman" w:hAnsi="Times New Roman" w:cs="Times New Roman"/>
                <w:i/>
                <w:iCs/>
                <w:sz w:val="20"/>
                <w:szCs w:val="20"/>
              </w:rPr>
              <w:t>Current cap on CET1 CAPITAL instruments subject to phase out arrangements</w:t>
            </w:r>
          </w:p>
        </w:tc>
        <w:tc>
          <w:tcPr>
            <w:tcW w:w="1715" w:type="dxa"/>
            <w:gridSpan w:val="2"/>
            <w:hideMark/>
          </w:tcPr>
          <w:p w14:paraId="4F82183A"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2D5C5227" w14:textId="77777777" w:rsidTr="00E35844">
        <w:trPr>
          <w:trHeight w:val="600"/>
        </w:trPr>
        <w:tc>
          <w:tcPr>
            <w:tcW w:w="1312" w:type="dxa"/>
            <w:hideMark/>
          </w:tcPr>
          <w:p w14:paraId="04B1C1F0" w14:textId="3F936264" w:rsidR="00E35844" w:rsidRPr="00B47F53" w:rsidRDefault="00E35844" w:rsidP="00E35844">
            <w:pPr>
              <w:rPr>
                <w:rFonts w:ascii="Times New Roman" w:hAnsi="Times New Roman" w:cs="Times New Roman"/>
                <w:sz w:val="20"/>
                <w:szCs w:val="20"/>
              </w:rPr>
            </w:pPr>
            <w:r w:rsidRPr="0026289E">
              <w:t>80</w:t>
            </w:r>
          </w:p>
        </w:tc>
        <w:tc>
          <w:tcPr>
            <w:tcW w:w="5989" w:type="dxa"/>
            <w:hideMark/>
          </w:tcPr>
          <w:p w14:paraId="3269D214" w14:textId="77777777" w:rsidR="00E35844" w:rsidRPr="00B47F53" w:rsidRDefault="00E35844" w:rsidP="00E35844">
            <w:pPr>
              <w:rPr>
                <w:rFonts w:ascii="Times New Roman" w:hAnsi="Times New Roman" w:cs="Times New Roman"/>
                <w:i/>
                <w:iCs/>
                <w:sz w:val="20"/>
                <w:szCs w:val="20"/>
              </w:rPr>
            </w:pPr>
            <w:r w:rsidRPr="00B47F53">
              <w:rPr>
                <w:rFonts w:ascii="Times New Roman" w:hAnsi="Times New Roman" w:cs="Times New Roman"/>
                <w:i/>
                <w:iCs/>
                <w:sz w:val="20"/>
                <w:szCs w:val="20"/>
              </w:rPr>
              <w:t>Amount excluded from CET1 CAPITAL due to cap (excess over cap after redemptions and maturities)</w:t>
            </w:r>
          </w:p>
        </w:tc>
        <w:tc>
          <w:tcPr>
            <w:tcW w:w="1715" w:type="dxa"/>
            <w:gridSpan w:val="2"/>
            <w:hideMark/>
          </w:tcPr>
          <w:p w14:paraId="20AD2475"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11F7FD52" w14:textId="77777777" w:rsidTr="00E35844">
        <w:trPr>
          <w:trHeight w:val="600"/>
        </w:trPr>
        <w:tc>
          <w:tcPr>
            <w:tcW w:w="1312" w:type="dxa"/>
            <w:hideMark/>
          </w:tcPr>
          <w:p w14:paraId="49C87E1B" w14:textId="6EEBE8F2" w:rsidR="00E35844" w:rsidRPr="00B47F53" w:rsidRDefault="00E35844" w:rsidP="00E35844">
            <w:pPr>
              <w:rPr>
                <w:rFonts w:ascii="Times New Roman" w:hAnsi="Times New Roman" w:cs="Times New Roman"/>
                <w:sz w:val="20"/>
                <w:szCs w:val="20"/>
              </w:rPr>
            </w:pPr>
            <w:r w:rsidRPr="0026289E">
              <w:t>81</w:t>
            </w:r>
          </w:p>
        </w:tc>
        <w:tc>
          <w:tcPr>
            <w:tcW w:w="5989" w:type="dxa"/>
            <w:hideMark/>
          </w:tcPr>
          <w:p w14:paraId="2B9AA6C7" w14:textId="77777777" w:rsidR="00E35844" w:rsidRPr="00B47F53" w:rsidRDefault="00E35844" w:rsidP="00E35844">
            <w:pPr>
              <w:rPr>
                <w:rFonts w:ascii="Times New Roman" w:hAnsi="Times New Roman" w:cs="Times New Roman"/>
                <w:i/>
                <w:iCs/>
                <w:sz w:val="20"/>
                <w:szCs w:val="20"/>
              </w:rPr>
            </w:pPr>
            <w:r w:rsidRPr="00B47F53">
              <w:rPr>
                <w:rFonts w:ascii="Times New Roman" w:hAnsi="Times New Roman" w:cs="Times New Roman"/>
                <w:i/>
                <w:iCs/>
                <w:sz w:val="20"/>
                <w:szCs w:val="20"/>
              </w:rPr>
              <w:t>Current cap on AT1 instruments subject to phase out arrangements</w:t>
            </w:r>
          </w:p>
        </w:tc>
        <w:tc>
          <w:tcPr>
            <w:tcW w:w="1715" w:type="dxa"/>
            <w:gridSpan w:val="2"/>
            <w:hideMark/>
          </w:tcPr>
          <w:p w14:paraId="66FCF961"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4E63A128" w14:textId="77777777" w:rsidTr="00E35844">
        <w:trPr>
          <w:trHeight w:val="600"/>
        </w:trPr>
        <w:tc>
          <w:tcPr>
            <w:tcW w:w="1312" w:type="dxa"/>
            <w:hideMark/>
          </w:tcPr>
          <w:p w14:paraId="71BDE8A9" w14:textId="221514BD" w:rsidR="00E35844" w:rsidRPr="00B47F53" w:rsidRDefault="00E35844" w:rsidP="00E35844">
            <w:pPr>
              <w:rPr>
                <w:rFonts w:ascii="Times New Roman" w:hAnsi="Times New Roman" w:cs="Times New Roman"/>
                <w:sz w:val="20"/>
                <w:szCs w:val="20"/>
              </w:rPr>
            </w:pPr>
            <w:r w:rsidRPr="0026289E">
              <w:t>82</w:t>
            </w:r>
          </w:p>
        </w:tc>
        <w:tc>
          <w:tcPr>
            <w:tcW w:w="5989" w:type="dxa"/>
            <w:hideMark/>
          </w:tcPr>
          <w:p w14:paraId="1D938C3D" w14:textId="77777777" w:rsidR="00E35844" w:rsidRPr="00B47F53" w:rsidRDefault="00E35844" w:rsidP="00E35844">
            <w:pPr>
              <w:rPr>
                <w:rFonts w:ascii="Times New Roman" w:hAnsi="Times New Roman" w:cs="Times New Roman"/>
                <w:i/>
                <w:iCs/>
                <w:sz w:val="20"/>
                <w:szCs w:val="20"/>
              </w:rPr>
            </w:pPr>
            <w:r w:rsidRPr="00B47F53">
              <w:rPr>
                <w:rFonts w:ascii="Times New Roman" w:hAnsi="Times New Roman" w:cs="Times New Roman"/>
                <w:i/>
                <w:iCs/>
                <w:sz w:val="20"/>
                <w:szCs w:val="20"/>
              </w:rPr>
              <w:t>Amount excluded from AT1 due to cap (excess over cap after redemptions and maturities)</w:t>
            </w:r>
          </w:p>
        </w:tc>
        <w:tc>
          <w:tcPr>
            <w:tcW w:w="1715" w:type="dxa"/>
            <w:gridSpan w:val="2"/>
            <w:hideMark/>
          </w:tcPr>
          <w:p w14:paraId="4077C8EA"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41553069" w14:textId="77777777" w:rsidTr="00E35844">
        <w:trPr>
          <w:trHeight w:val="600"/>
        </w:trPr>
        <w:tc>
          <w:tcPr>
            <w:tcW w:w="1312" w:type="dxa"/>
            <w:hideMark/>
          </w:tcPr>
          <w:p w14:paraId="5F2A67CD" w14:textId="50E59317" w:rsidR="00E35844" w:rsidRPr="00B47F53" w:rsidRDefault="00E35844" w:rsidP="00E35844">
            <w:pPr>
              <w:rPr>
                <w:rFonts w:ascii="Times New Roman" w:hAnsi="Times New Roman" w:cs="Times New Roman"/>
                <w:sz w:val="20"/>
                <w:szCs w:val="20"/>
              </w:rPr>
            </w:pPr>
            <w:r w:rsidRPr="0026289E">
              <w:t>83</w:t>
            </w:r>
          </w:p>
        </w:tc>
        <w:tc>
          <w:tcPr>
            <w:tcW w:w="5989" w:type="dxa"/>
            <w:hideMark/>
          </w:tcPr>
          <w:p w14:paraId="78DD0F5E" w14:textId="77777777" w:rsidR="00E35844" w:rsidRPr="00B47F53" w:rsidRDefault="00E35844" w:rsidP="00E35844">
            <w:pPr>
              <w:rPr>
                <w:rFonts w:ascii="Times New Roman" w:hAnsi="Times New Roman" w:cs="Times New Roman"/>
                <w:i/>
                <w:iCs/>
                <w:sz w:val="20"/>
                <w:szCs w:val="20"/>
              </w:rPr>
            </w:pPr>
            <w:r w:rsidRPr="00B47F53">
              <w:rPr>
                <w:rFonts w:ascii="Times New Roman" w:hAnsi="Times New Roman" w:cs="Times New Roman"/>
                <w:i/>
                <w:iCs/>
                <w:sz w:val="20"/>
                <w:szCs w:val="20"/>
              </w:rPr>
              <w:t>Current cap on T2 instruments subject to phase out arrangements</w:t>
            </w:r>
          </w:p>
        </w:tc>
        <w:tc>
          <w:tcPr>
            <w:tcW w:w="1715" w:type="dxa"/>
            <w:gridSpan w:val="2"/>
            <w:hideMark/>
          </w:tcPr>
          <w:p w14:paraId="53A37891"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r w:rsidR="00E35844" w:rsidRPr="00B47F53" w14:paraId="46F56186" w14:textId="77777777" w:rsidTr="00E35844">
        <w:trPr>
          <w:trHeight w:val="600"/>
        </w:trPr>
        <w:tc>
          <w:tcPr>
            <w:tcW w:w="1312" w:type="dxa"/>
            <w:hideMark/>
          </w:tcPr>
          <w:p w14:paraId="7C2F0EE6" w14:textId="0A03D75B" w:rsidR="00E35844" w:rsidRPr="00B47F53" w:rsidRDefault="00E35844" w:rsidP="00E35844">
            <w:pPr>
              <w:rPr>
                <w:rFonts w:ascii="Times New Roman" w:hAnsi="Times New Roman" w:cs="Times New Roman"/>
                <w:sz w:val="20"/>
                <w:szCs w:val="20"/>
              </w:rPr>
            </w:pPr>
            <w:r w:rsidRPr="0026289E">
              <w:t>84</w:t>
            </w:r>
          </w:p>
        </w:tc>
        <w:tc>
          <w:tcPr>
            <w:tcW w:w="5989" w:type="dxa"/>
            <w:hideMark/>
          </w:tcPr>
          <w:p w14:paraId="345B76D4" w14:textId="77777777" w:rsidR="00E35844" w:rsidRPr="00B47F53" w:rsidRDefault="00E35844" w:rsidP="00E35844">
            <w:pPr>
              <w:rPr>
                <w:rFonts w:ascii="Times New Roman" w:hAnsi="Times New Roman" w:cs="Times New Roman"/>
                <w:i/>
                <w:iCs/>
                <w:sz w:val="20"/>
                <w:szCs w:val="20"/>
              </w:rPr>
            </w:pPr>
            <w:r w:rsidRPr="00B47F53">
              <w:rPr>
                <w:rFonts w:ascii="Times New Roman" w:hAnsi="Times New Roman" w:cs="Times New Roman"/>
                <w:i/>
                <w:iCs/>
                <w:sz w:val="20"/>
                <w:szCs w:val="20"/>
              </w:rPr>
              <w:t>Amount excluded from T2 due to cap (excess over cap after redemptions and maturities)</w:t>
            </w:r>
          </w:p>
        </w:tc>
        <w:tc>
          <w:tcPr>
            <w:tcW w:w="1715" w:type="dxa"/>
            <w:gridSpan w:val="2"/>
            <w:hideMark/>
          </w:tcPr>
          <w:p w14:paraId="33EA84CC" w14:textId="77777777" w:rsidR="00E35844" w:rsidRPr="00B47F53" w:rsidRDefault="00E35844" w:rsidP="00E35844">
            <w:pPr>
              <w:pStyle w:val="NoSpacing"/>
              <w:jc w:val="right"/>
              <w:rPr>
                <w:rFonts w:ascii="Times New Roman" w:hAnsi="Times New Roman" w:cs="Times New Roman"/>
                <w:sz w:val="20"/>
                <w:szCs w:val="20"/>
              </w:rPr>
            </w:pPr>
            <w:r w:rsidRPr="00B47F53">
              <w:rPr>
                <w:rFonts w:ascii="Times New Roman" w:hAnsi="Times New Roman" w:cs="Times New Roman"/>
                <w:sz w:val="20"/>
                <w:szCs w:val="20"/>
              </w:rPr>
              <w:t xml:space="preserve">                          -   </w:t>
            </w:r>
          </w:p>
        </w:tc>
      </w:tr>
    </w:tbl>
    <w:p w14:paraId="1566F960" w14:textId="77777777" w:rsidR="0034042E" w:rsidRPr="00B47F53" w:rsidRDefault="0034042E" w:rsidP="00F8167B">
      <w:pPr>
        <w:rPr>
          <w:rFonts w:ascii="Times New Roman" w:hAnsi="Times New Roman" w:cs="Times New Roman"/>
          <w:sz w:val="20"/>
          <w:szCs w:val="20"/>
        </w:rPr>
      </w:pPr>
    </w:p>
    <w:p w14:paraId="2A79879B" w14:textId="77777777" w:rsidR="00D357C4" w:rsidRPr="00B47F53" w:rsidRDefault="00062153" w:rsidP="00F8167B">
      <w:pPr>
        <w:pStyle w:val="Heading2"/>
        <w:rPr>
          <w:rFonts w:ascii="Times New Roman" w:hAnsi="Times New Roman" w:cs="Times New Roman"/>
          <w:color w:val="auto"/>
          <w:sz w:val="20"/>
          <w:szCs w:val="20"/>
        </w:rPr>
      </w:pPr>
      <w:bookmarkStart w:id="3" w:name="_Toc100839091"/>
      <w:r w:rsidRPr="00B47F53">
        <w:rPr>
          <w:rStyle w:val="A5"/>
          <w:rFonts w:ascii="Times New Roman" w:hAnsi="Times New Roman" w:cs="Times New Roman"/>
          <w:color w:val="auto"/>
          <w:sz w:val="20"/>
          <w:szCs w:val="20"/>
        </w:rPr>
        <w:t xml:space="preserve">2.2 </w:t>
      </w:r>
      <w:r w:rsidR="00943ECF" w:rsidRPr="00B47F53">
        <w:rPr>
          <w:rStyle w:val="A5"/>
          <w:rFonts w:ascii="Times New Roman" w:hAnsi="Times New Roman" w:cs="Times New Roman"/>
          <w:color w:val="auto"/>
          <w:sz w:val="20"/>
          <w:szCs w:val="20"/>
        </w:rPr>
        <w:t xml:space="preserve">   </w:t>
      </w:r>
      <w:r w:rsidR="00D357C4" w:rsidRPr="00B47F53">
        <w:rPr>
          <w:rStyle w:val="A5"/>
          <w:rFonts w:ascii="Times New Roman" w:hAnsi="Times New Roman" w:cs="Times New Roman"/>
          <w:color w:val="auto"/>
          <w:sz w:val="20"/>
          <w:szCs w:val="20"/>
        </w:rPr>
        <w:t>Capital</w:t>
      </w:r>
      <w:r w:rsidR="00CC718A" w:rsidRPr="00B47F53">
        <w:rPr>
          <w:rStyle w:val="A5"/>
          <w:rFonts w:ascii="Times New Roman" w:hAnsi="Times New Roman" w:cs="Times New Roman"/>
          <w:color w:val="auto"/>
          <w:sz w:val="20"/>
          <w:szCs w:val="20"/>
        </w:rPr>
        <w:t xml:space="preserve"> Adequacy</w:t>
      </w:r>
      <w:bookmarkEnd w:id="3"/>
      <w:r w:rsidR="00CC718A" w:rsidRPr="00B47F53">
        <w:rPr>
          <w:rStyle w:val="A5"/>
          <w:rFonts w:ascii="Times New Roman" w:hAnsi="Times New Roman" w:cs="Times New Roman"/>
          <w:color w:val="auto"/>
          <w:sz w:val="20"/>
          <w:szCs w:val="20"/>
        </w:rPr>
        <w:t xml:space="preserve"> </w:t>
      </w:r>
    </w:p>
    <w:p w14:paraId="135413D6" w14:textId="77777777" w:rsidR="00A95B1D" w:rsidRPr="00B47F53" w:rsidRDefault="00AE0414" w:rsidP="00F8167B">
      <w:pPr>
        <w:pStyle w:val="Heading3"/>
        <w:rPr>
          <w:rStyle w:val="A5"/>
          <w:rFonts w:ascii="Times New Roman" w:hAnsi="Times New Roman" w:cs="Times New Roman"/>
          <w:color w:val="auto"/>
          <w:sz w:val="20"/>
          <w:szCs w:val="20"/>
        </w:rPr>
      </w:pPr>
      <w:bookmarkStart w:id="4" w:name="_Toc100839092"/>
      <w:r w:rsidRPr="00B47F53">
        <w:rPr>
          <w:rStyle w:val="A5"/>
          <w:rFonts w:ascii="Times New Roman" w:hAnsi="Times New Roman" w:cs="Times New Roman"/>
          <w:color w:val="auto"/>
          <w:sz w:val="20"/>
          <w:szCs w:val="20"/>
        </w:rPr>
        <w:t>2.2.1 Quali</w:t>
      </w:r>
      <w:r w:rsidR="00CC718A" w:rsidRPr="00B47F53">
        <w:rPr>
          <w:rStyle w:val="A5"/>
          <w:rFonts w:ascii="Times New Roman" w:hAnsi="Times New Roman" w:cs="Times New Roman"/>
          <w:color w:val="auto"/>
          <w:sz w:val="20"/>
          <w:szCs w:val="20"/>
        </w:rPr>
        <w:t>tative Disclosures</w:t>
      </w:r>
      <w:bookmarkEnd w:id="4"/>
    </w:p>
    <w:p w14:paraId="1B89BA02" w14:textId="77777777" w:rsidR="00CC718A" w:rsidRPr="00B47F53" w:rsidRDefault="00CC718A" w:rsidP="00F8167B">
      <w:pPr>
        <w:pStyle w:val="Pa9"/>
        <w:spacing w:line="276" w:lineRule="auto"/>
        <w:ind w:left="280" w:hanging="280"/>
        <w:jc w:val="both"/>
        <w:rPr>
          <w:rFonts w:ascii="Times New Roman" w:hAnsi="Times New Roman" w:cs="Times New Roman"/>
          <w:color w:val="000000"/>
          <w:sz w:val="20"/>
          <w:szCs w:val="20"/>
        </w:rPr>
      </w:pPr>
      <w:r w:rsidRPr="00B47F53">
        <w:rPr>
          <w:rStyle w:val="A5"/>
          <w:rFonts w:ascii="Times New Roman" w:hAnsi="Times New Roman" w:cs="Times New Roman"/>
          <w:sz w:val="20"/>
          <w:szCs w:val="20"/>
        </w:rPr>
        <w:t xml:space="preserve"> </w:t>
      </w:r>
    </w:p>
    <w:p w14:paraId="0DB19A39" w14:textId="757658B3" w:rsidR="002C54C5" w:rsidRPr="00B47F53" w:rsidRDefault="00425965" w:rsidP="00F8167B">
      <w:pPr>
        <w:jc w:val="both"/>
        <w:rPr>
          <w:rStyle w:val="A5"/>
          <w:rFonts w:ascii="Times New Roman" w:hAnsi="Times New Roman" w:cs="Times New Roman"/>
          <w:sz w:val="20"/>
          <w:szCs w:val="20"/>
        </w:rPr>
      </w:pPr>
      <w:r w:rsidRPr="00B47F53">
        <w:rPr>
          <w:rStyle w:val="A5"/>
          <w:rFonts w:ascii="Times New Roman" w:hAnsi="Times New Roman" w:cs="Times New Roman"/>
          <w:sz w:val="20"/>
          <w:szCs w:val="20"/>
        </w:rPr>
        <w:lastRenderedPageBreak/>
        <w:t>First Capital Bank continues to maintain good capital position. The bank is in continuous monitoring of the capital adequacy requirements.</w:t>
      </w:r>
    </w:p>
    <w:p w14:paraId="717638B9" w14:textId="1C0400A4" w:rsidR="00EC75E2" w:rsidRPr="00B47F53" w:rsidRDefault="00CC718A" w:rsidP="00F8167B">
      <w:pPr>
        <w:jc w:val="both"/>
        <w:rPr>
          <w:rStyle w:val="A5"/>
          <w:rFonts w:ascii="Times New Roman" w:hAnsi="Times New Roman" w:cs="Times New Roman"/>
          <w:sz w:val="20"/>
          <w:szCs w:val="20"/>
        </w:rPr>
      </w:pPr>
      <w:r w:rsidRPr="00B47F53">
        <w:rPr>
          <w:rStyle w:val="A5"/>
          <w:rFonts w:ascii="Times New Roman" w:hAnsi="Times New Roman" w:cs="Times New Roman"/>
          <w:sz w:val="20"/>
          <w:szCs w:val="20"/>
        </w:rPr>
        <w:t xml:space="preserve">For the Quarter ended </w:t>
      </w:r>
      <w:r w:rsidR="00CC705B">
        <w:rPr>
          <w:rStyle w:val="A5"/>
          <w:rFonts w:ascii="Times New Roman" w:hAnsi="Times New Roman" w:cs="Times New Roman"/>
          <w:sz w:val="20"/>
          <w:szCs w:val="20"/>
        </w:rPr>
        <w:t>3</w:t>
      </w:r>
      <w:r w:rsidR="0022273E">
        <w:rPr>
          <w:rStyle w:val="A5"/>
          <w:rFonts w:ascii="Times New Roman" w:hAnsi="Times New Roman" w:cs="Times New Roman"/>
          <w:sz w:val="20"/>
          <w:szCs w:val="20"/>
        </w:rPr>
        <w:t>1</w:t>
      </w:r>
      <w:r w:rsidR="00CC705B">
        <w:rPr>
          <w:rStyle w:val="A5"/>
          <w:rFonts w:ascii="Times New Roman" w:hAnsi="Times New Roman" w:cs="Times New Roman"/>
          <w:sz w:val="20"/>
          <w:szCs w:val="20"/>
        </w:rPr>
        <w:t xml:space="preserve"> </w:t>
      </w:r>
      <w:r w:rsidR="00BB3C14">
        <w:rPr>
          <w:rStyle w:val="A5"/>
          <w:rFonts w:ascii="Times New Roman" w:hAnsi="Times New Roman" w:cs="Times New Roman"/>
          <w:sz w:val="20"/>
          <w:szCs w:val="20"/>
        </w:rPr>
        <w:t>March</w:t>
      </w:r>
      <w:r w:rsidR="005B5130" w:rsidRPr="005B5130">
        <w:rPr>
          <w:rStyle w:val="A5"/>
          <w:rFonts w:ascii="Times New Roman" w:hAnsi="Times New Roman" w:cs="Times New Roman"/>
          <w:sz w:val="20"/>
          <w:szCs w:val="20"/>
        </w:rPr>
        <w:t xml:space="preserve"> 202</w:t>
      </w:r>
      <w:r w:rsidR="00BB3C14">
        <w:rPr>
          <w:rStyle w:val="A5"/>
          <w:rFonts w:ascii="Times New Roman" w:hAnsi="Times New Roman" w:cs="Times New Roman"/>
          <w:sz w:val="20"/>
          <w:szCs w:val="20"/>
        </w:rPr>
        <w:t>2</w:t>
      </w:r>
      <w:r w:rsidRPr="00B47F53">
        <w:rPr>
          <w:rStyle w:val="A5"/>
          <w:rFonts w:ascii="Times New Roman" w:hAnsi="Times New Roman" w:cs="Times New Roman"/>
          <w:sz w:val="20"/>
          <w:szCs w:val="20"/>
        </w:rPr>
        <w:t xml:space="preserve">, the bank’s capital ratios </w:t>
      </w:r>
      <w:r w:rsidR="005D508A" w:rsidRPr="00B47F53">
        <w:rPr>
          <w:rStyle w:val="A5"/>
          <w:rFonts w:ascii="Times New Roman" w:hAnsi="Times New Roman" w:cs="Times New Roman"/>
          <w:sz w:val="20"/>
          <w:szCs w:val="20"/>
        </w:rPr>
        <w:t xml:space="preserve">are </w:t>
      </w:r>
      <w:r w:rsidRPr="00B47F53">
        <w:rPr>
          <w:rStyle w:val="A5"/>
          <w:rFonts w:ascii="Times New Roman" w:hAnsi="Times New Roman" w:cs="Times New Roman"/>
          <w:sz w:val="20"/>
          <w:szCs w:val="20"/>
        </w:rPr>
        <w:t>outlined below</w:t>
      </w:r>
      <w:r w:rsidR="000813A6">
        <w:rPr>
          <w:rStyle w:val="A5"/>
          <w:rFonts w:ascii="Times New Roman" w:hAnsi="Times New Roman" w:cs="Times New Roman"/>
          <w:sz w:val="20"/>
          <w:szCs w:val="20"/>
        </w:rPr>
        <w:t>:</w:t>
      </w:r>
    </w:p>
    <w:p w14:paraId="5F6AFE00" w14:textId="77777777" w:rsidR="00062153" w:rsidRPr="00B47F53" w:rsidRDefault="00AE0414" w:rsidP="00F8167B">
      <w:pPr>
        <w:pStyle w:val="Heading3"/>
        <w:rPr>
          <w:rStyle w:val="A5"/>
          <w:rFonts w:ascii="Times New Roman" w:hAnsi="Times New Roman" w:cs="Times New Roman"/>
          <w:color w:val="auto"/>
          <w:sz w:val="20"/>
          <w:szCs w:val="20"/>
        </w:rPr>
      </w:pPr>
      <w:bookmarkStart w:id="5" w:name="_Toc100839093"/>
      <w:r w:rsidRPr="00B47F53">
        <w:rPr>
          <w:rStyle w:val="A5"/>
          <w:rFonts w:ascii="Times New Roman" w:hAnsi="Times New Roman" w:cs="Times New Roman"/>
          <w:color w:val="auto"/>
          <w:sz w:val="20"/>
          <w:szCs w:val="20"/>
        </w:rPr>
        <w:t>2.2.2 Quanti</w:t>
      </w:r>
      <w:r w:rsidR="00CC718A" w:rsidRPr="00B47F53">
        <w:rPr>
          <w:rStyle w:val="A5"/>
          <w:rFonts w:ascii="Times New Roman" w:hAnsi="Times New Roman" w:cs="Times New Roman"/>
          <w:color w:val="auto"/>
          <w:sz w:val="20"/>
          <w:szCs w:val="20"/>
        </w:rPr>
        <w:t>tative disclosures</w:t>
      </w:r>
      <w:bookmarkEnd w:id="5"/>
    </w:p>
    <w:p w14:paraId="269F3C50" w14:textId="77777777" w:rsidR="00AE0414" w:rsidRPr="00B47F53" w:rsidRDefault="00AE0414" w:rsidP="00F8167B">
      <w:pPr>
        <w:rPr>
          <w:rFonts w:ascii="Times New Roman" w:hAnsi="Times New Roman" w:cs="Times New Roman"/>
          <w:sz w:val="20"/>
          <w:szCs w:val="20"/>
        </w:rPr>
      </w:pPr>
    </w:p>
    <w:tbl>
      <w:tblPr>
        <w:tblStyle w:val="TableGrid"/>
        <w:tblW w:w="0" w:type="auto"/>
        <w:tblInd w:w="-5" w:type="dxa"/>
        <w:tblLook w:val="04A0" w:firstRow="1" w:lastRow="0" w:firstColumn="1" w:lastColumn="0" w:noHBand="0" w:noVBand="1"/>
      </w:tblPr>
      <w:tblGrid>
        <w:gridCol w:w="2496"/>
        <w:gridCol w:w="1999"/>
        <w:gridCol w:w="2160"/>
        <w:gridCol w:w="2340"/>
      </w:tblGrid>
      <w:tr w:rsidR="00B47F53" w:rsidRPr="00B47F53" w14:paraId="2CFBA37F" w14:textId="77777777" w:rsidTr="00B47F53">
        <w:trPr>
          <w:trHeight w:val="315"/>
        </w:trPr>
        <w:tc>
          <w:tcPr>
            <w:tcW w:w="2496" w:type="dxa"/>
            <w:tcBorders>
              <w:top w:val="single" w:sz="8" w:space="0" w:color="auto"/>
              <w:left w:val="single" w:sz="8" w:space="0" w:color="auto"/>
              <w:bottom w:val="single" w:sz="8" w:space="0" w:color="auto"/>
              <w:right w:val="single" w:sz="8" w:space="0" w:color="auto"/>
            </w:tcBorders>
            <w:shd w:val="clear" w:color="000000" w:fill="92D050"/>
            <w:noWrap/>
            <w:vAlign w:val="center"/>
            <w:hideMark/>
          </w:tcPr>
          <w:p w14:paraId="45D99BA2" w14:textId="0CD00D5E" w:rsidR="00B47F53" w:rsidRPr="00B47F53" w:rsidRDefault="00B47F53" w:rsidP="00B47F53">
            <w:pPr>
              <w:rPr>
                <w:rFonts w:ascii="Times New Roman" w:hAnsi="Times New Roman" w:cs="Times New Roman"/>
                <w:b/>
                <w:sz w:val="20"/>
                <w:szCs w:val="20"/>
              </w:rPr>
            </w:pPr>
            <w:r w:rsidRPr="00B47F53">
              <w:rPr>
                <w:rFonts w:ascii="Times New Roman" w:hAnsi="Times New Roman" w:cs="Times New Roman"/>
                <w:b/>
                <w:bCs/>
                <w:color w:val="000000"/>
                <w:sz w:val="20"/>
                <w:szCs w:val="20"/>
              </w:rPr>
              <w:t>Portfolio</w:t>
            </w:r>
          </w:p>
        </w:tc>
        <w:tc>
          <w:tcPr>
            <w:tcW w:w="1999" w:type="dxa"/>
            <w:tcBorders>
              <w:top w:val="single" w:sz="8" w:space="0" w:color="auto"/>
              <w:left w:val="nil"/>
              <w:bottom w:val="single" w:sz="8" w:space="0" w:color="auto"/>
              <w:right w:val="single" w:sz="8" w:space="0" w:color="auto"/>
            </w:tcBorders>
            <w:shd w:val="clear" w:color="000000" w:fill="92D050"/>
            <w:noWrap/>
            <w:vAlign w:val="center"/>
            <w:hideMark/>
          </w:tcPr>
          <w:p w14:paraId="48347622" w14:textId="4AD6EF36" w:rsidR="00B47F53" w:rsidRPr="00B47F53" w:rsidRDefault="00B47F53" w:rsidP="00B47F53">
            <w:pPr>
              <w:rPr>
                <w:rFonts w:ascii="Times New Roman" w:hAnsi="Times New Roman" w:cs="Times New Roman"/>
                <w:b/>
                <w:sz w:val="20"/>
                <w:szCs w:val="20"/>
              </w:rPr>
            </w:pPr>
            <w:r w:rsidRPr="00B47F53">
              <w:rPr>
                <w:rFonts w:ascii="Times New Roman" w:hAnsi="Times New Roman" w:cs="Times New Roman"/>
                <w:b/>
                <w:bCs/>
                <w:color w:val="000000"/>
                <w:sz w:val="20"/>
                <w:szCs w:val="20"/>
              </w:rPr>
              <w:t>Approach</w:t>
            </w:r>
          </w:p>
        </w:tc>
        <w:tc>
          <w:tcPr>
            <w:tcW w:w="2160" w:type="dxa"/>
            <w:tcBorders>
              <w:top w:val="single" w:sz="8" w:space="0" w:color="auto"/>
              <w:left w:val="nil"/>
              <w:bottom w:val="single" w:sz="8" w:space="0" w:color="auto"/>
              <w:right w:val="single" w:sz="8" w:space="0" w:color="auto"/>
            </w:tcBorders>
            <w:shd w:val="clear" w:color="000000" w:fill="92D050"/>
            <w:vAlign w:val="center"/>
            <w:hideMark/>
          </w:tcPr>
          <w:p w14:paraId="1FA4DFDA" w14:textId="50233929" w:rsidR="00B47F53" w:rsidRPr="00B47F53" w:rsidRDefault="00B47F53" w:rsidP="00B47F53">
            <w:pPr>
              <w:rPr>
                <w:rFonts w:ascii="Times New Roman" w:hAnsi="Times New Roman" w:cs="Times New Roman"/>
                <w:b/>
                <w:sz w:val="20"/>
                <w:szCs w:val="20"/>
              </w:rPr>
            </w:pPr>
            <w:r w:rsidRPr="00B47F53">
              <w:rPr>
                <w:rFonts w:ascii="Times New Roman" w:hAnsi="Times New Roman" w:cs="Times New Roman"/>
                <w:b/>
                <w:bCs/>
                <w:color w:val="000000"/>
                <w:sz w:val="20"/>
                <w:szCs w:val="20"/>
              </w:rPr>
              <w:t>Amount (P’000)</w:t>
            </w:r>
          </w:p>
        </w:tc>
        <w:tc>
          <w:tcPr>
            <w:tcW w:w="2340" w:type="dxa"/>
            <w:tcBorders>
              <w:top w:val="single" w:sz="8" w:space="0" w:color="auto"/>
              <w:left w:val="nil"/>
              <w:bottom w:val="single" w:sz="8" w:space="0" w:color="auto"/>
              <w:right w:val="single" w:sz="8" w:space="0" w:color="auto"/>
            </w:tcBorders>
            <w:shd w:val="clear" w:color="000000" w:fill="92D050"/>
            <w:noWrap/>
            <w:vAlign w:val="center"/>
            <w:hideMark/>
          </w:tcPr>
          <w:p w14:paraId="132C7E72" w14:textId="58310327" w:rsidR="00B47F53" w:rsidRPr="00B47F53" w:rsidRDefault="00B47F53" w:rsidP="00B47F53">
            <w:pPr>
              <w:rPr>
                <w:rFonts w:ascii="Times New Roman" w:hAnsi="Times New Roman" w:cs="Times New Roman"/>
                <w:b/>
                <w:sz w:val="20"/>
                <w:szCs w:val="20"/>
              </w:rPr>
            </w:pPr>
            <w:r w:rsidRPr="00B47F53">
              <w:rPr>
                <w:rFonts w:ascii="Times New Roman" w:hAnsi="Times New Roman" w:cs="Times New Roman"/>
                <w:b/>
                <w:bCs/>
                <w:color w:val="000000"/>
                <w:sz w:val="20"/>
                <w:szCs w:val="20"/>
              </w:rPr>
              <w:t>Capital Requirement</w:t>
            </w:r>
            <w:r w:rsidR="002F6EA0">
              <w:rPr>
                <w:rFonts w:ascii="Times New Roman" w:hAnsi="Times New Roman" w:cs="Times New Roman"/>
                <w:b/>
                <w:bCs/>
                <w:color w:val="000000"/>
                <w:sz w:val="20"/>
                <w:szCs w:val="20"/>
              </w:rPr>
              <w:t xml:space="preserve"> (P</w:t>
            </w:r>
            <w:r w:rsidR="00941520">
              <w:rPr>
                <w:rFonts w:ascii="Times New Roman" w:hAnsi="Times New Roman" w:cs="Times New Roman"/>
                <w:b/>
                <w:bCs/>
                <w:color w:val="000000"/>
                <w:sz w:val="20"/>
                <w:szCs w:val="20"/>
              </w:rPr>
              <w:t>’000)</w:t>
            </w:r>
          </w:p>
        </w:tc>
      </w:tr>
      <w:tr w:rsidR="00C5391F" w:rsidRPr="00B47F53" w14:paraId="08008D5C" w14:textId="77777777" w:rsidTr="00B47F53">
        <w:trPr>
          <w:trHeight w:val="315"/>
        </w:trPr>
        <w:tc>
          <w:tcPr>
            <w:tcW w:w="2496" w:type="dxa"/>
            <w:tcBorders>
              <w:top w:val="nil"/>
              <w:left w:val="single" w:sz="8" w:space="0" w:color="auto"/>
              <w:bottom w:val="single" w:sz="8" w:space="0" w:color="auto"/>
              <w:right w:val="single" w:sz="8" w:space="0" w:color="auto"/>
            </w:tcBorders>
            <w:shd w:val="clear" w:color="auto" w:fill="auto"/>
            <w:noWrap/>
            <w:vAlign w:val="center"/>
            <w:hideMark/>
          </w:tcPr>
          <w:p w14:paraId="4CBC0EEF" w14:textId="1FD56589" w:rsidR="00C5391F" w:rsidRPr="00B47F53" w:rsidRDefault="00C5391F" w:rsidP="00C5391F">
            <w:pPr>
              <w:rPr>
                <w:rFonts w:ascii="Times New Roman" w:hAnsi="Times New Roman" w:cs="Times New Roman"/>
                <w:sz w:val="20"/>
                <w:szCs w:val="20"/>
              </w:rPr>
            </w:pPr>
            <w:r w:rsidRPr="00B47F53">
              <w:rPr>
                <w:rFonts w:ascii="Times New Roman" w:hAnsi="Times New Roman" w:cs="Times New Roman"/>
                <w:color w:val="000000"/>
                <w:sz w:val="20"/>
                <w:szCs w:val="20"/>
              </w:rPr>
              <w:t>Credit Risk</w:t>
            </w:r>
          </w:p>
        </w:tc>
        <w:tc>
          <w:tcPr>
            <w:tcW w:w="1999" w:type="dxa"/>
            <w:tcBorders>
              <w:top w:val="nil"/>
              <w:left w:val="nil"/>
              <w:bottom w:val="single" w:sz="8" w:space="0" w:color="auto"/>
              <w:right w:val="single" w:sz="8" w:space="0" w:color="auto"/>
            </w:tcBorders>
            <w:shd w:val="clear" w:color="auto" w:fill="auto"/>
            <w:noWrap/>
            <w:vAlign w:val="center"/>
            <w:hideMark/>
          </w:tcPr>
          <w:p w14:paraId="6595D1D2" w14:textId="4ED08777" w:rsidR="00C5391F" w:rsidRPr="00B47F53" w:rsidRDefault="00C5391F" w:rsidP="00C5391F">
            <w:pPr>
              <w:rPr>
                <w:rFonts w:ascii="Times New Roman" w:hAnsi="Times New Roman" w:cs="Times New Roman"/>
                <w:sz w:val="20"/>
                <w:szCs w:val="20"/>
              </w:rPr>
            </w:pPr>
            <w:r w:rsidRPr="00B47F53">
              <w:rPr>
                <w:rFonts w:ascii="Times New Roman" w:hAnsi="Times New Roman" w:cs="Times New Roman"/>
                <w:color w:val="000000"/>
                <w:sz w:val="20"/>
                <w:szCs w:val="20"/>
              </w:rPr>
              <w:t>Simple</w:t>
            </w:r>
          </w:p>
        </w:tc>
        <w:tc>
          <w:tcPr>
            <w:tcW w:w="2160" w:type="dxa"/>
            <w:tcBorders>
              <w:top w:val="nil"/>
              <w:left w:val="nil"/>
              <w:bottom w:val="single" w:sz="8" w:space="0" w:color="auto"/>
              <w:right w:val="single" w:sz="8" w:space="0" w:color="auto"/>
            </w:tcBorders>
            <w:shd w:val="clear" w:color="auto" w:fill="auto"/>
            <w:vAlign w:val="center"/>
            <w:hideMark/>
          </w:tcPr>
          <w:p w14:paraId="3F9F4DD0" w14:textId="360D6274" w:rsidR="00C5391F" w:rsidRPr="00C5391F" w:rsidRDefault="00C5391F" w:rsidP="00C5391F">
            <w:pPr>
              <w:jc w:val="right"/>
              <w:rPr>
                <w:rFonts w:ascii="Times New Roman" w:hAnsi="Times New Roman" w:cs="Times New Roman"/>
                <w:color w:val="FF0000"/>
                <w:sz w:val="20"/>
                <w:szCs w:val="20"/>
              </w:rPr>
            </w:pPr>
            <w:r w:rsidRPr="00C5391F">
              <w:rPr>
                <w:rFonts w:ascii="Times New Roman" w:hAnsi="Times New Roman" w:cs="Times New Roman"/>
                <w:color w:val="000000"/>
                <w:sz w:val="20"/>
                <w:szCs w:val="20"/>
              </w:rPr>
              <w:t xml:space="preserve">          </w:t>
            </w:r>
            <w:r w:rsidR="00536E74" w:rsidRPr="00536E74">
              <w:rPr>
                <w:rFonts w:ascii="Times New Roman" w:hAnsi="Times New Roman" w:cs="Times New Roman"/>
                <w:color w:val="000000"/>
                <w:sz w:val="20"/>
                <w:szCs w:val="20"/>
              </w:rPr>
              <w:t xml:space="preserve"> </w:t>
            </w:r>
            <w:r w:rsidR="008F107D" w:rsidRPr="008F107D">
              <w:rPr>
                <w:rFonts w:ascii="Times New Roman" w:hAnsi="Times New Roman" w:cs="Times New Roman"/>
                <w:color w:val="000000"/>
                <w:sz w:val="20"/>
                <w:szCs w:val="20"/>
              </w:rPr>
              <w:t xml:space="preserve"> 3,343,168</w:t>
            </w:r>
          </w:p>
        </w:tc>
        <w:tc>
          <w:tcPr>
            <w:tcW w:w="2340" w:type="dxa"/>
            <w:tcBorders>
              <w:top w:val="nil"/>
              <w:left w:val="nil"/>
              <w:bottom w:val="single" w:sz="8" w:space="0" w:color="auto"/>
              <w:right w:val="single" w:sz="8" w:space="0" w:color="auto"/>
            </w:tcBorders>
            <w:shd w:val="clear" w:color="auto" w:fill="auto"/>
            <w:noWrap/>
            <w:vAlign w:val="center"/>
            <w:hideMark/>
          </w:tcPr>
          <w:p w14:paraId="5D790D50" w14:textId="7355E9C0" w:rsidR="00C5391F" w:rsidRPr="00C5391F" w:rsidRDefault="00C5391F" w:rsidP="00C5391F">
            <w:pPr>
              <w:jc w:val="right"/>
              <w:rPr>
                <w:rFonts w:ascii="Times New Roman" w:hAnsi="Times New Roman" w:cs="Times New Roman"/>
                <w:color w:val="FF0000"/>
                <w:sz w:val="20"/>
                <w:szCs w:val="20"/>
              </w:rPr>
            </w:pPr>
            <w:r w:rsidRPr="00C5391F">
              <w:rPr>
                <w:rFonts w:ascii="Times New Roman" w:hAnsi="Times New Roman" w:cs="Times New Roman"/>
                <w:color w:val="000000"/>
                <w:sz w:val="20"/>
                <w:szCs w:val="20"/>
              </w:rPr>
              <w:t xml:space="preserve">                      </w:t>
            </w:r>
            <w:r w:rsidR="00536E74" w:rsidRPr="00536E74">
              <w:rPr>
                <w:rFonts w:ascii="Times New Roman" w:hAnsi="Times New Roman" w:cs="Times New Roman"/>
                <w:color w:val="000000"/>
                <w:sz w:val="20"/>
                <w:szCs w:val="20"/>
              </w:rPr>
              <w:t xml:space="preserve"> </w:t>
            </w:r>
            <w:r w:rsidR="008F107D" w:rsidRPr="008F107D">
              <w:rPr>
                <w:rFonts w:ascii="Times New Roman" w:hAnsi="Times New Roman" w:cs="Times New Roman"/>
                <w:color w:val="000000"/>
                <w:sz w:val="20"/>
                <w:szCs w:val="20"/>
              </w:rPr>
              <w:t xml:space="preserve"> 501,475</w:t>
            </w:r>
          </w:p>
        </w:tc>
      </w:tr>
      <w:tr w:rsidR="00C5391F" w:rsidRPr="00B47F53" w14:paraId="07FBEF1F" w14:textId="77777777" w:rsidTr="00B47F53">
        <w:trPr>
          <w:trHeight w:val="315"/>
        </w:trPr>
        <w:tc>
          <w:tcPr>
            <w:tcW w:w="2496" w:type="dxa"/>
            <w:tcBorders>
              <w:top w:val="nil"/>
              <w:left w:val="single" w:sz="8" w:space="0" w:color="auto"/>
              <w:bottom w:val="single" w:sz="8" w:space="0" w:color="auto"/>
              <w:right w:val="single" w:sz="8" w:space="0" w:color="auto"/>
            </w:tcBorders>
            <w:shd w:val="clear" w:color="auto" w:fill="auto"/>
            <w:noWrap/>
            <w:vAlign w:val="center"/>
            <w:hideMark/>
          </w:tcPr>
          <w:p w14:paraId="183BA6FD" w14:textId="22F4C0D1" w:rsidR="00C5391F" w:rsidRPr="00B47F53" w:rsidRDefault="00C5391F" w:rsidP="00C5391F">
            <w:pPr>
              <w:rPr>
                <w:rFonts w:ascii="Times New Roman" w:hAnsi="Times New Roman" w:cs="Times New Roman"/>
                <w:sz w:val="20"/>
                <w:szCs w:val="20"/>
              </w:rPr>
            </w:pPr>
            <w:r w:rsidRPr="00B47F53">
              <w:rPr>
                <w:rFonts w:ascii="Times New Roman" w:hAnsi="Times New Roman" w:cs="Times New Roman"/>
                <w:color w:val="000000"/>
                <w:sz w:val="20"/>
                <w:szCs w:val="20"/>
              </w:rPr>
              <w:t>Market Risk</w:t>
            </w:r>
          </w:p>
        </w:tc>
        <w:tc>
          <w:tcPr>
            <w:tcW w:w="1999" w:type="dxa"/>
            <w:tcBorders>
              <w:top w:val="nil"/>
              <w:left w:val="nil"/>
              <w:bottom w:val="single" w:sz="8" w:space="0" w:color="auto"/>
              <w:right w:val="single" w:sz="8" w:space="0" w:color="auto"/>
            </w:tcBorders>
            <w:shd w:val="clear" w:color="auto" w:fill="auto"/>
            <w:noWrap/>
            <w:vAlign w:val="center"/>
            <w:hideMark/>
          </w:tcPr>
          <w:p w14:paraId="438203F6" w14:textId="6BA259F6" w:rsidR="00C5391F" w:rsidRPr="00B47F53" w:rsidRDefault="00C5391F" w:rsidP="00C5391F">
            <w:pPr>
              <w:rPr>
                <w:rFonts w:ascii="Times New Roman" w:hAnsi="Times New Roman" w:cs="Times New Roman"/>
                <w:sz w:val="20"/>
                <w:szCs w:val="20"/>
              </w:rPr>
            </w:pPr>
            <w:r w:rsidRPr="00B47F53">
              <w:rPr>
                <w:rFonts w:ascii="Times New Roman" w:hAnsi="Times New Roman" w:cs="Times New Roman"/>
                <w:color w:val="000000"/>
                <w:sz w:val="20"/>
                <w:szCs w:val="20"/>
              </w:rPr>
              <w:t>Standardised</w:t>
            </w:r>
          </w:p>
        </w:tc>
        <w:tc>
          <w:tcPr>
            <w:tcW w:w="2160" w:type="dxa"/>
            <w:tcBorders>
              <w:top w:val="nil"/>
              <w:left w:val="nil"/>
              <w:bottom w:val="single" w:sz="8" w:space="0" w:color="auto"/>
              <w:right w:val="single" w:sz="8" w:space="0" w:color="auto"/>
            </w:tcBorders>
            <w:shd w:val="clear" w:color="auto" w:fill="auto"/>
            <w:vAlign w:val="center"/>
            <w:hideMark/>
          </w:tcPr>
          <w:p w14:paraId="6DDEDC37" w14:textId="0409D759" w:rsidR="00C5391F" w:rsidRPr="00C5391F" w:rsidRDefault="00C5391F" w:rsidP="00C5391F">
            <w:pPr>
              <w:jc w:val="right"/>
              <w:rPr>
                <w:rFonts w:ascii="Times New Roman" w:hAnsi="Times New Roman" w:cs="Times New Roman"/>
                <w:color w:val="FF0000"/>
                <w:sz w:val="20"/>
                <w:szCs w:val="20"/>
              </w:rPr>
            </w:pPr>
            <w:r w:rsidRPr="00C5391F">
              <w:rPr>
                <w:rFonts w:ascii="Times New Roman" w:hAnsi="Times New Roman" w:cs="Times New Roman"/>
                <w:color w:val="000000"/>
                <w:sz w:val="20"/>
                <w:szCs w:val="20"/>
              </w:rPr>
              <w:t xml:space="preserve">                </w:t>
            </w:r>
            <w:r w:rsidR="00536E74" w:rsidRPr="00536E74">
              <w:rPr>
                <w:rFonts w:ascii="Times New Roman" w:hAnsi="Times New Roman" w:cs="Times New Roman"/>
                <w:color w:val="000000"/>
                <w:sz w:val="20"/>
                <w:szCs w:val="20"/>
              </w:rPr>
              <w:t xml:space="preserve"> </w:t>
            </w:r>
            <w:r w:rsidR="008F107D" w:rsidRPr="008F107D">
              <w:rPr>
                <w:rFonts w:ascii="Times New Roman" w:hAnsi="Times New Roman" w:cs="Times New Roman"/>
                <w:color w:val="000000"/>
                <w:sz w:val="20"/>
                <w:szCs w:val="20"/>
              </w:rPr>
              <w:t xml:space="preserve"> 3,010</w:t>
            </w:r>
          </w:p>
        </w:tc>
        <w:tc>
          <w:tcPr>
            <w:tcW w:w="2340" w:type="dxa"/>
            <w:tcBorders>
              <w:top w:val="nil"/>
              <w:left w:val="nil"/>
              <w:bottom w:val="single" w:sz="8" w:space="0" w:color="auto"/>
              <w:right w:val="single" w:sz="8" w:space="0" w:color="auto"/>
            </w:tcBorders>
            <w:shd w:val="clear" w:color="auto" w:fill="auto"/>
            <w:noWrap/>
            <w:vAlign w:val="center"/>
            <w:hideMark/>
          </w:tcPr>
          <w:p w14:paraId="19B320BF" w14:textId="1B828455" w:rsidR="00C5391F" w:rsidRPr="00C5391F" w:rsidRDefault="00C5391F" w:rsidP="00C5391F">
            <w:pPr>
              <w:jc w:val="right"/>
              <w:rPr>
                <w:rFonts w:ascii="Times New Roman" w:hAnsi="Times New Roman" w:cs="Times New Roman"/>
                <w:color w:val="FF0000"/>
                <w:sz w:val="20"/>
                <w:szCs w:val="20"/>
              </w:rPr>
            </w:pPr>
            <w:r w:rsidRPr="00C5391F">
              <w:rPr>
                <w:rFonts w:ascii="Times New Roman" w:hAnsi="Times New Roman" w:cs="Times New Roman"/>
                <w:color w:val="000000"/>
                <w:sz w:val="20"/>
                <w:szCs w:val="20"/>
              </w:rPr>
              <w:t xml:space="preserve">                          </w:t>
            </w:r>
            <w:r w:rsidR="00536E74" w:rsidRPr="00536E74">
              <w:rPr>
                <w:rFonts w:ascii="Times New Roman" w:hAnsi="Times New Roman" w:cs="Times New Roman"/>
                <w:color w:val="000000"/>
                <w:sz w:val="20"/>
                <w:szCs w:val="20"/>
              </w:rPr>
              <w:t xml:space="preserve"> </w:t>
            </w:r>
            <w:r w:rsidR="008F107D" w:rsidRPr="008F107D">
              <w:rPr>
                <w:rFonts w:ascii="Times New Roman" w:hAnsi="Times New Roman" w:cs="Times New Roman"/>
                <w:color w:val="000000"/>
                <w:sz w:val="20"/>
                <w:szCs w:val="20"/>
              </w:rPr>
              <w:t xml:space="preserve"> 452</w:t>
            </w:r>
          </w:p>
        </w:tc>
      </w:tr>
      <w:tr w:rsidR="00C5391F" w:rsidRPr="00B47F53" w14:paraId="53330648" w14:textId="77777777" w:rsidTr="00B47F53">
        <w:trPr>
          <w:trHeight w:val="315"/>
        </w:trPr>
        <w:tc>
          <w:tcPr>
            <w:tcW w:w="2496" w:type="dxa"/>
            <w:tcBorders>
              <w:top w:val="nil"/>
              <w:left w:val="single" w:sz="8" w:space="0" w:color="auto"/>
              <w:bottom w:val="single" w:sz="8" w:space="0" w:color="auto"/>
              <w:right w:val="single" w:sz="8" w:space="0" w:color="auto"/>
            </w:tcBorders>
            <w:shd w:val="clear" w:color="auto" w:fill="auto"/>
            <w:noWrap/>
            <w:vAlign w:val="center"/>
            <w:hideMark/>
          </w:tcPr>
          <w:p w14:paraId="6711206C" w14:textId="61D827D9" w:rsidR="00C5391F" w:rsidRPr="00B47F53" w:rsidRDefault="00C5391F" w:rsidP="00C5391F">
            <w:pPr>
              <w:rPr>
                <w:rFonts w:ascii="Times New Roman" w:hAnsi="Times New Roman" w:cs="Times New Roman"/>
                <w:sz w:val="20"/>
                <w:szCs w:val="20"/>
              </w:rPr>
            </w:pPr>
            <w:r w:rsidRPr="00B47F53">
              <w:rPr>
                <w:rFonts w:ascii="Times New Roman" w:hAnsi="Times New Roman" w:cs="Times New Roman"/>
                <w:color w:val="000000"/>
                <w:sz w:val="20"/>
                <w:szCs w:val="20"/>
              </w:rPr>
              <w:t>Operational Risk</w:t>
            </w:r>
          </w:p>
        </w:tc>
        <w:tc>
          <w:tcPr>
            <w:tcW w:w="1999" w:type="dxa"/>
            <w:tcBorders>
              <w:top w:val="nil"/>
              <w:left w:val="nil"/>
              <w:bottom w:val="single" w:sz="8" w:space="0" w:color="auto"/>
              <w:right w:val="single" w:sz="8" w:space="0" w:color="auto"/>
            </w:tcBorders>
            <w:shd w:val="clear" w:color="auto" w:fill="auto"/>
            <w:noWrap/>
            <w:vAlign w:val="center"/>
            <w:hideMark/>
          </w:tcPr>
          <w:p w14:paraId="1715B6DD" w14:textId="3BD74674" w:rsidR="00C5391F" w:rsidRPr="00B47F53" w:rsidRDefault="00C5391F" w:rsidP="00C5391F">
            <w:pPr>
              <w:rPr>
                <w:rFonts w:ascii="Times New Roman" w:hAnsi="Times New Roman" w:cs="Times New Roman"/>
                <w:sz w:val="20"/>
                <w:szCs w:val="20"/>
              </w:rPr>
            </w:pPr>
            <w:r w:rsidRPr="00B47F53">
              <w:rPr>
                <w:rFonts w:ascii="Times New Roman" w:hAnsi="Times New Roman" w:cs="Times New Roman"/>
                <w:color w:val="000000"/>
                <w:sz w:val="20"/>
                <w:szCs w:val="20"/>
              </w:rPr>
              <w:t>Basic Indicator</w:t>
            </w:r>
          </w:p>
        </w:tc>
        <w:tc>
          <w:tcPr>
            <w:tcW w:w="2160" w:type="dxa"/>
            <w:tcBorders>
              <w:top w:val="nil"/>
              <w:left w:val="nil"/>
              <w:bottom w:val="single" w:sz="8" w:space="0" w:color="auto"/>
              <w:right w:val="single" w:sz="8" w:space="0" w:color="auto"/>
            </w:tcBorders>
            <w:shd w:val="clear" w:color="auto" w:fill="auto"/>
            <w:vAlign w:val="center"/>
            <w:hideMark/>
          </w:tcPr>
          <w:p w14:paraId="3714F7C7" w14:textId="6B9CC904" w:rsidR="00C5391F" w:rsidRPr="00C5391F" w:rsidRDefault="00C5391F" w:rsidP="00C5391F">
            <w:pPr>
              <w:jc w:val="right"/>
              <w:rPr>
                <w:rFonts w:ascii="Times New Roman" w:hAnsi="Times New Roman" w:cs="Times New Roman"/>
                <w:color w:val="FF0000"/>
                <w:sz w:val="20"/>
                <w:szCs w:val="20"/>
              </w:rPr>
            </w:pPr>
            <w:r w:rsidRPr="00C5391F">
              <w:rPr>
                <w:rFonts w:ascii="Times New Roman" w:hAnsi="Times New Roman" w:cs="Times New Roman"/>
                <w:color w:val="000000"/>
                <w:sz w:val="20"/>
                <w:szCs w:val="20"/>
              </w:rPr>
              <w:t xml:space="preserve">              </w:t>
            </w:r>
            <w:r w:rsidR="00536E74" w:rsidRPr="00536E74">
              <w:rPr>
                <w:rFonts w:ascii="Times New Roman" w:hAnsi="Times New Roman" w:cs="Times New Roman"/>
                <w:color w:val="000000"/>
                <w:sz w:val="20"/>
                <w:szCs w:val="20"/>
              </w:rPr>
              <w:t xml:space="preserve"> </w:t>
            </w:r>
            <w:r w:rsidR="008F107D" w:rsidRPr="008F107D">
              <w:rPr>
                <w:rFonts w:ascii="Times New Roman" w:hAnsi="Times New Roman" w:cs="Times New Roman"/>
                <w:color w:val="000000"/>
                <w:sz w:val="20"/>
                <w:szCs w:val="20"/>
              </w:rPr>
              <w:t xml:space="preserve"> 280,832</w:t>
            </w:r>
          </w:p>
        </w:tc>
        <w:tc>
          <w:tcPr>
            <w:tcW w:w="2340" w:type="dxa"/>
            <w:tcBorders>
              <w:top w:val="nil"/>
              <w:left w:val="nil"/>
              <w:bottom w:val="single" w:sz="8" w:space="0" w:color="auto"/>
              <w:right w:val="single" w:sz="8" w:space="0" w:color="auto"/>
            </w:tcBorders>
            <w:shd w:val="clear" w:color="auto" w:fill="auto"/>
            <w:noWrap/>
            <w:vAlign w:val="center"/>
            <w:hideMark/>
          </w:tcPr>
          <w:p w14:paraId="3A726FAD" w14:textId="34FA292B" w:rsidR="00C5391F" w:rsidRPr="00C5391F" w:rsidRDefault="00C5391F" w:rsidP="00C5391F">
            <w:pPr>
              <w:jc w:val="right"/>
              <w:rPr>
                <w:rFonts w:ascii="Times New Roman" w:hAnsi="Times New Roman" w:cs="Times New Roman"/>
                <w:color w:val="FF0000"/>
                <w:sz w:val="20"/>
                <w:szCs w:val="20"/>
              </w:rPr>
            </w:pPr>
            <w:r w:rsidRPr="00C5391F">
              <w:rPr>
                <w:rFonts w:ascii="Times New Roman" w:hAnsi="Times New Roman" w:cs="Times New Roman"/>
                <w:color w:val="000000"/>
                <w:sz w:val="20"/>
                <w:szCs w:val="20"/>
              </w:rPr>
              <w:t xml:space="preserve">                        </w:t>
            </w:r>
            <w:r w:rsidR="00536E74" w:rsidRPr="00536E74">
              <w:rPr>
                <w:rFonts w:ascii="Times New Roman" w:hAnsi="Times New Roman" w:cs="Times New Roman"/>
                <w:color w:val="000000"/>
                <w:sz w:val="20"/>
                <w:szCs w:val="20"/>
              </w:rPr>
              <w:t xml:space="preserve"> </w:t>
            </w:r>
            <w:r w:rsidR="008F107D" w:rsidRPr="008F107D">
              <w:rPr>
                <w:rFonts w:ascii="Times New Roman" w:hAnsi="Times New Roman" w:cs="Times New Roman"/>
                <w:color w:val="000000"/>
                <w:sz w:val="20"/>
                <w:szCs w:val="20"/>
              </w:rPr>
              <w:t xml:space="preserve"> 42,125</w:t>
            </w:r>
          </w:p>
        </w:tc>
      </w:tr>
      <w:tr w:rsidR="00C5391F" w:rsidRPr="00B47F53" w14:paraId="50B52C1E" w14:textId="77777777" w:rsidTr="00B47F53">
        <w:trPr>
          <w:trHeight w:val="315"/>
        </w:trPr>
        <w:tc>
          <w:tcPr>
            <w:tcW w:w="2496" w:type="dxa"/>
            <w:tcBorders>
              <w:top w:val="nil"/>
              <w:left w:val="single" w:sz="8" w:space="0" w:color="auto"/>
              <w:bottom w:val="single" w:sz="8" w:space="0" w:color="auto"/>
              <w:right w:val="single" w:sz="8" w:space="0" w:color="auto"/>
            </w:tcBorders>
            <w:shd w:val="clear" w:color="auto" w:fill="auto"/>
            <w:noWrap/>
            <w:vAlign w:val="center"/>
            <w:hideMark/>
          </w:tcPr>
          <w:p w14:paraId="6784C81A" w14:textId="769F46FC" w:rsidR="00C5391F" w:rsidRPr="00B47F53" w:rsidRDefault="00C5391F" w:rsidP="00C5391F">
            <w:pPr>
              <w:rPr>
                <w:rFonts w:ascii="Times New Roman" w:hAnsi="Times New Roman" w:cs="Times New Roman"/>
                <w:b/>
                <w:sz w:val="20"/>
                <w:szCs w:val="20"/>
              </w:rPr>
            </w:pPr>
            <w:r w:rsidRPr="00B47F53">
              <w:rPr>
                <w:rFonts w:ascii="Times New Roman" w:hAnsi="Times New Roman" w:cs="Times New Roman"/>
                <w:color w:val="000000"/>
                <w:sz w:val="20"/>
                <w:szCs w:val="20"/>
              </w:rPr>
              <w:t>TOTAL</w:t>
            </w:r>
          </w:p>
        </w:tc>
        <w:tc>
          <w:tcPr>
            <w:tcW w:w="1999" w:type="dxa"/>
            <w:tcBorders>
              <w:top w:val="nil"/>
              <w:left w:val="nil"/>
              <w:bottom w:val="single" w:sz="8" w:space="0" w:color="auto"/>
              <w:right w:val="single" w:sz="8" w:space="0" w:color="auto"/>
            </w:tcBorders>
            <w:shd w:val="clear" w:color="auto" w:fill="auto"/>
            <w:noWrap/>
            <w:vAlign w:val="center"/>
            <w:hideMark/>
          </w:tcPr>
          <w:p w14:paraId="6BFD8661" w14:textId="57732E14" w:rsidR="00C5391F" w:rsidRPr="00B47F53" w:rsidRDefault="00C5391F" w:rsidP="00C5391F">
            <w:pPr>
              <w:rPr>
                <w:rFonts w:ascii="Times New Roman" w:hAnsi="Times New Roman" w:cs="Times New Roman"/>
                <w:b/>
                <w:sz w:val="20"/>
                <w:szCs w:val="20"/>
              </w:rPr>
            </w:pPr>
            <w:r w:rsidRPr="00B47F53">
              <w:rPr>
                <w:rFonts w:ascii="Times New Roman" w:hAnsi="Times New Roman" w:cs="Times New Roman"/>
                <w:color w:val="000000"/>
                <w:sz w:val="20"/>
                <w:szCs w:val="20"/>
              </w:rPr>
              <w:t> </w:t>
            </w:r>
          </w:p>
        </w:tc>
        <w:tc>
          <w:tcPr>
            <w:tcW w:w="2160" w:type="dxa"/>
            <w:tcBorders>
              <w:top w:val="nil"/>
              <w:left w:val="nil"/>
              <w:bottom w:val="single" w:sz="8" w:space="0" w:color="auto"/>
              <w:right w:val="single" w:sz="8" w:space="0" w:color="auto"/>
            </w:tcBorders>
            <w:shd w:val="clear" w:color="auto" w:fill="auto"/>
            <w:vAlign w:val="center"/>
            <w:hideMark/>
          </w:tcPr>
          <w:p w14:paraId="78191785" w14:textId="3224D6B8" w:rsidR="00C5391F" w:rsidRPr="00C5391F" w:rsidRDefault="008F107D" w:rsidP="00C5391F">
            <w:pPr>
              <w:jc w:val="right"/>
              <w:rPr>
                <w:rFonts w:ascii="Times New Roman" w:hAnsi="Times New Roman" w:cs="Times New Roman"/>
                <w:b/>
                <w:sz w:val="20"/>
                <w:szCs w:val="20"/>
              </w:rPr>
            </w:pPr>
            <w:r w:rsidRPr="008F107D">
              <w:rPr>
                <w:rFonts w:ascii="Times New Roman" w:hAnsi="Times New Roman" w:cs="Times New Roman"/>
                <w:b/>
                <w:bCs/>
                <w:color w:val="000000"/>
                <w:sz w:val="20"/>
                <w:szCs w:val="20"/>
              </w:rPr>
              <w:t>3,627,011</w:t>
            </w:r>
          </w:p>
        </w:tc>
        <w:tc>
          <w:tcPr>
            <w:tcW w:w="2340" w:type="dxa"/>
            <w:tcBorders>
              <w:top w:val="nil"/>
              <w:left w:val="nil"/>
              <w:bottom w:val="single" w:sz="8" w:space="0" w:color="auto"/>
              <w:right w:val="single" w:sz="8" w:space="0" w:color="auto"/>
            </w:tcBorders>
            <w:shd w:val="clear" w:color="auto" w:fill="auto"/>
            <w:vAlign w:val="center"/>
            <w:hideMark/>
          </w:tcPr>
          <w:p w14:paraId="75A832E3" w14:textId="3A4ED551" w:rsidR="00C5391F" w:rsidRPr="00C5391F" w:rsidRDefault="00C5391F" w:rsidP="00C5391F">
            <w:pPr>
              <w:jc w:val="right"/>
              <w:rPr>
                <w:rFonts w:ascii="Times New Roman" w:hAnsi="Times New Roman" w:cs="Times New Roman"/>
                <w:b/>
                <w:bCs/>
                <w:color w:val="000000"/>
                <w:sz w:val="20"/>
                <w:szCs w:val="20"/>
              </w:rPr>
            </w:pPr>
            <w:r w:rsidRPr="00C5391F">
              <w:rPr>
                <w:rFonts w:ascii="Times New Roman" w:hAnsi="Times New Roman" w:cs="Times New Roman"/>
                <w:b/>
                <w:bCs/>
                <w:color w:val="000000"/>
                <w:sz w:val="20"/>
                <w:szCs w:val="20"/>
              </w:rPr>
              <w:t xml:space="preserve">                      </w:t>
            </w:r>
            <w:r w:rsidR="00536E74" w:rsidRPr="00536E74">
              <w:rPr>
                <w:rFonts w:ascii="Times New Roman" w:hAnsi="Times New Roman" w:cs="Times New Roman"/>
                <w:b/>
                <w:bCs/>
                <w:color w:val="000000"/>
                <w:sz w:val="20"/>
                <w:szCs w:val="20"/>
              </w:rPr>
              <w:t xml:space="preserve"> </w:t>
            </w:r>
            <w:r w:rsidR="008F107D" w:rsidRPr="008F107D">
              <w:rPr>
                <w:rFonts w:ascii="Times New Roman" w:hAnsi="Times New Roman" w:cs="Times New Roman"/>
                <w:b/>
                <w:bCs/>
                <w:color w:val="000000"/>
                <w:sz w:val="20"/>
                <w:szCs w:val="20"/>
              </w:rPr>
              <w:t xml:space="preserve"> 544,052</w:t>
            </w:r>
          </w:p>
        </w:tc>
      </w:tr>
    </w:tbl>
    <w:p w14:paraId="516A6C44" w14:textId="77777777" w:rsidR="00EC75E2" w:rsidRPr="00B47F53" w:rsidRDefault="00EC75E2" w:rsidP="00F8167B">
      <w:pPr>
        <w:pStyle w:val="Pa11"/>
        <w:spacing w:line="276" w:lineRule="auto"/>
        <w:ind w:left="720"/>
        <w:jc w:val="both"/>
        <w:rPr>
          <w:rStyle w:val="A5"/>
          <w:rFonts w:ascii="Times New Roman" w:hAnsi="Times New Roman" w:cs="Times New Roman"/>
          <w:sz w:val="20"/>
          <w:szCs w:val="20"/>
        </w:rPr>
      </w:pPr>
    </w:p>
    <w:p w14:paraId="7AC83FB8" w14:textId="77777777" w:rsidR="00A95B1D" w:rsidRPr="00B47F53" w:rsidRDefault="00C639CF" w:rsidP="00A26251">
      <w:pPr>
        <w:pStyle w:val="Pa11"/>
        <w:numPr>
          <w:ilvl w:val="0"/>
          <w:numId w:val="12"/>
        </w:numPr>
        <w:spacing w:line="276" w:lineRule="auto"/>
        <w:jc w:val="both"/>
        <w:rPr>
          <w:rStyle w:val="A5"/>
          <w:rFonts w:ascii="Times New Roman" w:hAnsi="Times New Roman" w:cs="Times New Roman"/>
          <w:b/>
          <w:sz w:val="20"/>
          <w:szCs w:val="20"/>
        </w:rPr>
      </w:pPr>
      <w:r w:rsidRPr="00B47F53">
        <w:rPr>
          <w:rStyle w:val="A5"/>
          <w:rFonts w:ascii="Times New Roman" w:hAnsi="Times New Roman" w:cs="Times New Roman"/>
          <w:b/>
          <w:sz w:val="20"/>
          <w:szCs w:val="20"/>
        </w:rPr>
        <w:t xml:space="preserve"> </w:t>
      </w:r>
      <w:r w:rsidR="00CC718A" w:rsidRPr="00B47F53">
        <w:rPr>
          <w:rStyle w:val="A5"/>
          <w:rFonts w:ascii="Times New Roman" w:hAnsi="Times New Roman" w:cs="Times New Roman"/>
          <w:b/>
          <w:sz w:val="20"/>
          <w:szCs w:val="20"/>
        </w:rPr>
        <w:t>Capital requirements for Credit Risk</w:t>
      </w:r>
    </w:p>
    <w:p w14:paraId="6F417FEF" w14:textId="77777777" w:rsidR="00CC718A" w:rsidRPr="00B47F53" w:rsidRDefault="00CC718A" w:rsidP="00F8167B">
      <w:pPr>
        <w:pStyle w:val="Pa11"/>
        <w:spacing w:line="276" w:lineRule="auto"/>
        <w:ind w:left="720"/>
        <w:jc w:val="both"/>
        <w:rPr>
          <w:rFonts w:ascii="Times New Roman" w:hAnsi="Times New Roman" w:cs="Times New Roman"/>
          <w:color w:val="000000"/>
          <w:sz w:val="20"/>
          <w:szCs w:val="20"/>
        </w:rPr>
      </w:pPr>
      <w:r w:rsidRPr="00B47F53">
        <w:rPr>
          <w:rStyle w:val="A5"/>
          <w:rFonts w:ascii="Times New Roman" w:hAnsi="Times New Roman" w:cs="Times New Roman"/>
          <w:sz w:val="20"/>
          <w:szCs w:val="20"/>
        </w:rPr>
        <w:t xml:space="preserve"> </w:t>
      </w:r>
    </w:p>
    <w:p w14:paraId="3ED5EB09" w14:textId="77777777" w:rsidR="00CC718A" w:rsidRPr="00B47F53" w:rsidRDefault="004C7F4C" w:rsidP="00F8167B">
      <w:pPr>
        <w:jc w:val="both"/>
        <w:rPr>
          <w:rStyle w:val="A5"/>
          <w:rFonts w:ascii="Times New Roman" w:hAnsi="Times New Roman" w:cs="Times New Roman"/>
          <w:sz w:val="20"/>
          <w:szCs w:val="20"/>
        </w:rPr>
      </w:pPr>
      <w:r w:rsidRPr="00B47F53">
        <w:rPr>
          <w:rStyle w:val="A5"/>
          <w:rFonts w:ascii="Times New Roman" w:hAnsi="Times New Roman" w:cs="Times New Roman"/>
          <w:sz w:val="20"/>
          <w:szCs w:val="20"/>
        </w:rPr>
        <w:t xml:space="preserve">First </w:t>
      </w:r>
      <w:r w:rsidR="00AD1967" w:rsidRPr="00B47F53">
        <w:rPr>
          <w:rStyle w:val="A5"/>
          <w:rFonts w:ascii="Times New Roman" w:hAnsi="Times New Roman" w:cs="Times New Roman"/>
          <w:sz w:val="20"/>
          <w:szCs w:val="20"/>
        </w:rPr>
        <w:t>Capital Bank</w:t>
      </w:r>
      <w:r w:rsidRPr="00B47F53">
        <w:rPr>
          <w:rStyle w:val="A5"/>
          <w:rFonts w:ascii="Times New Roman" w:hAnsi="Times New Roman" w:cs="Times New Roman"/>
          <w:sz w:val="20"/>
          <w:szCs w:val="20"/>
        </w:rPr>
        <w:t xml:space="preserve"> </w:t>
      </w:r>
      <w:r w:rsidR="00003D29" w:rsidRPr="00B47F53">
        <w:rPr>
          <w:rStyle w:val="A5"/>
          <w:rFonts w:ascii="Times New Roman" w:hAnsi="Times New Roman" w:cs="Times New Roman"/>
          <w:sz w:val="20"/>
          <w:szCs w:val="20"/>
        </w:rPr>
        <w:t>uses the</w:t>
      </w:r>
      <w:r w:rsidR="00CC718A" w:rsidRPr="00B47F53">
        <w:rPr>
          <w:rStyle w:val="A5"/>
          <w:rFonts w:ascii="Times New Roman" w:hAnsi="Times New Roman" w:cs="Times New Roman"/>
          <w:sz w:val="20"/>
          <w:szCs w:val="20"/>
        </w:rPr>
        <w:t xml:space="preserve"> </w:t>
      </w:r>
      <w:r w:rsidR="001E1988" w:rsidRPr="00B47F53">
        <w:rPr>
          <w:rStyle w:val="A5"/>
          <w:rFonts w:ascii="Times New Roman" w:hAnsi="Times New Roman" w:cs="Times New Roman"/>
          <w:sz w:val="20"/>
          <w:szCs w:val="20"/>
        </w:rPr>
        <w:t>S</w:t>
      </w:r>
      <w:r w:rsidR="00CC718A" w:rsidRPr="00B47F53">
        <w:rPr>
          <w:rStyle w:val="A5"/>
          <w:rFonts w:ascii="Times New Roman" w:hAnsi="Times New Roman" w:cs="Times New Roman"/>
          <w:sz w:val="20"/>
          <w:szCs w:val="20"/>
        </w:rPr>
        <w:t xml:space="preserve">imple Approach as per the Basel II </w:t>
      </w:r>
      <w:r w:rsidR="00A95B1D" w:rsidRPr="00B47F53">
        <w:rPr>
          <w:rStyle w:val="A5"/>
          <w:rFonts w:ascii="Times New Roman" w:hAnsi="Times New Roman" w:cs="Times New Roman"/>
          <w:sz w:val="20"/>
          <w:szCs w:val="20"/>
        </w:rPr>
        <w:t>framework</w:t>
      </w:r>
      <w:r w:rsidR="00003D29" w:rsidRPr="00B47F53">
        <w:rPr>
          <w:rStyle w:val="A5"/>
          <w:rFonts w:ascii="Times New Roman" w:hAnsi="Times New Roman" w:cs="Times New Roman"/>
          <w:sz w:val="20"/>
          <w:szCs w:val="20"/>
        </w:rPr>
        <w:t xml:space="preserve"> to calculate Credit RWA</w:t>
      </w:r>
      <w:r w:rsidR="00A95B1D" w:rsidRPr="00B47F53">
        <w:rPr>
          <w:rStyle w:val="A5"/>
          <w:rFonts w:ascii="Times New Roman" w:hAnsi="Times New Roman" w:cs="Times New Roman"/>
          <w:sz w:val="20"/>
          <w:szCs w:val="20"/>
        </w:rPr>
        <w:t>. The</w:t>
      </w:r>
      <w:r w:rsidR="00CC718A" w:rsidRPr="00B47F53">
        <w:rPr>
          <w:rStyle w:val="A5"/>
          <w:rFonts w:ascii="Times New Roman" w:hAnsi="Times New Roman" w:cs="Times New Roman"/>
          <w:sz w:val="20"/>
          <w:szCs w:val="20"/>
        </w:rPr>
        <w:t xml:space="preserve"> RWA is the addition of the</w:t>
      </w:r>
      <w:r w:rsidR="00003D29" w:rsidRPr="00B47F53">
        <w:rPr>
          <w:rStyle w:val="A5"/>
          <w:rFonts w:ascii="Times New Roman" w:hAnsi="Times New Roman" w:cs="Times New Roman"/>
          <w:sz w:val="20"/>
          <w:szCs w:val="20"/>
        </w:rPr>
        <w:t xml:space="preserve"> totals of the On-balance </w:t>
      </w:r>
      <w:r w:rsidR="00CC718A" w:rsidRPr="00B47F53">
        <w:rPr>
          <w:rStyle w:val="A5"/>
          <w:rFonts w:ascii="Times New Roman" w:hAnsi="Times New Roman" w:cs="Times New Roman"/>
          <w:sz w:val="20"/>
          <w:szCs w:val="20"/>
        </w:rPr>
        <w:t xml:space="preserve">and </w:t>
      </w:r>
      <w:r w:rsidR="001E1988" w:rsidRPr="00B47F53">
        <w:rPr>
          <w:rStyle w:val="A5"/>
          <w:rFonts w:ascii="Times New Roman" w:hAnsi="Times New Roman" w:cs="Times New Roman"/>
          <w:sz w:val="20"/>
          <w:szCs w:val="20"/>
        </w:rPr>
        <w:t>O</w:t>
      </w:r>
      <w:r w:rsidR="00003D29" w:rsidRPr="00B47F53">
        <w:rPr>
          <w:rStyle w:val="A5"/>
          <w:rFonts w:ascii="Times New Roman" w:hAnsi="Times New Roman" w:cs="Times New Roman"/>
          <w:sz w:val="20"/>
          <w:szCs w:val="20"/>
        </w:rPr>
        <w:t xml:space="preserve">ff-balance sheet </w:t>
      </w:r>
      <w:r w:rsidR="004E551B" w:rsidRPr="00B47F53">
        <w:rPr>
          <w:rStyle w:val="A5"/>
          <w:rFonts w:ascii="Times New Roman" w:hAnsi="Times New Roman" w:cs="Times New Roman"/>
          <w:sz w:val="20"/>
          <w:szCs w:val="20"/>
        </w:rPr>
        <w:t>subject to various</w:t>
      </w:r>
      <w:r w:rsidR="00003D29" w:rsidRPr="00B47F53">
        <w:rPr>
          <w:rStyle w:val="A5"/>
          <w:rFonts w:ascii="Times New Roman" w:hAnsi="Times New Roman" w:cs="Times New Roman"/>
          <w:sz w:val="20"/>
          <w:szCs w:val="20"/>
        </w:rPr>
        <w:t xml:space="preserve"> credit risk mitigants</w:t>
      </w:r>
      <w:r w:rsidR="004E551B" w:rsidRPr="00B47F53">
        <w:rPr>
          <w:rStyle w:val="A5"/>
          <w:rFonts w:ascii="Times New Roman" w:hAnsi="Times New Roman" w:cs="Times New Roman"/>
          <w:sz w:val="20"/>
          <w:szCs w:val="20"/>
        </w:rPr>
        <w:t>.</w:t>
      </w:r>
    </w:p>
    <w:tbl>
      <w:tblPr>
        <w:tblStyle w:val="TableGrid"/>
        <w:tblW w:w="9016" w:type="dxa"/>
        <w:tblLook w:val="04A0" w:firstRow="1" w:lastRow="0" w:firstColumn="1" w:lastColumn="0" w:noHBand="0" w:noVBand="1"/>
      </w:tblPr>
      <w:tblGrid>
        <w:gridCol w:w="4855"/>
        <w:gridCol w:w="1371"/>
        <w:gridCol w:w="1594"/>
        <w:gridCol w:w="1196"/>
      </w:tblGrid>
      <w:tr w:rsidR="0069629D" w:rsidRPr="00B47F53" w14:paraId="780BDCD8" w14:textId="77777777" w:rsidTr="000645BD">
        <w:trPr>
          <w:trHeight w:val="900"/>
        </w:trPr>
        <w:tc>
          <w:tcPr>
            <w:tcW w:w="4855" w:type="dxa"/>
            <w:noWrap/>
            <w:hideMark/>
          </w:tcPr>
          <w:p w14:paraId="0052B8B1" w14:textId="77777777" w:rsidR="0069629D" w:rsidRPr="00B47F53" w:rsidRDefault="0069629D" w:rsidP="0069629D">
            <w:pPr>
              <w:rPr>
                <w:rFonts w:ascii="Times New Roman" w:eastAsia="Times New Roman" w:hAnsi="Times New Roman" w:cs="Times New Roman"/>
                <w:b/>
                <w:bCs/>
                <w:sz w:val="20"/>
                <w:szCs w:val="20"/>
                <w:lang w:val="en-US"/>
              </w:rPr>
            </w:pPr>
            <w:r w:rsidRPr="00B47F53">
              <w:rPr>
                <w:rFonts w:ascii="Times New Roman" w:eastAsia="Times New Roman" w:hAnsi="Times New Roman" w:cs="Times New Roman"/>
                <w:b/>
                <w:bCs/>
                <w:sz w:val="20"/>
                <w:szCs w:val="20"/>
                <w:lang w:val="en-US"/>
              </w:rPr>
              <w:t xml:space="preserve">Portfolio </w:t>
            </w:r>
          </w:p>
        </w:tc>
        <w:tc>
          <w:tcPr>
            <w:tcW w:w="1371" w:type="dxa"/>
            <w:hideMark/>
          </w:tcPr>
          <w:p w14:paraId="008408CA" w14:textId="77777777" w:rsidR="0069629D" w:rsidRPr="00B47F53" w:rsidRDefault="0069629D" w:rsidP="0069629D">
            <w:pPr>
              <w:jc w:val="right"/>
              <w:rPr>
                <w:rFonts w:ascii="Times New Roman" w:eastAsia="Times New Roman" w:hAnsi="Times New Roman" w:cs="Times New Roman"/>
                <w:b/>
                <w:bCs/>
                <w:sz w:val="20"/>
                <w:szCs w:val="20"/>
                <w:lang w:val="en-US"/>
              </w:rPr>
            </w:pPr>
            <w:r w:rsidRPr="00B47F53">
              <w:rPr>
                <w:rFonts w:ascii="Times New Roman" w:eastAsia="Times New Roman" w:hAnsi="Times New Roman" w:cs="Times New Roman"/>
                <w:b/>
                <w:bCs/>
                <w:sz w:val="20"/>
                <w:szCs w:val="20"/>
                <w:lang w:val="en-US"/>
              </w:rPr>
              <w:t>Exposures before CRM</w:t>
            </w:r>
          </w:p>
        </w:tc>
        <w:tc>
          <w:tcPr>
            <w:tcW w:w="1594" w:type="dxa"/>
            <w:hideMark/>
          </w:tcPr>
          <w:p w14:paraId="6451E07C" w14:textId="77777777" w:rsidR="0069629D" w:rsidRPr="00B47F53" w:rsidRDefault="0069629D" w:rsidP="0069629D">
            <w:pPr>
              <w:jc w:val="center"/>
              <w:rPr>
                <w:rFonts w:ascii="Times New Roman" w:eastAsia="Times New Roman" w:hAnsi="Times New Roman" w:cs="Times New Roman"/>
                <w:b/>
                <w:bCs/>
                <w:sz w:val="20"/>
                <w:szCs w:val="20"/>
                <w:lang w:val="en-US"/>
              </w:rPr>
            </w:pPr>
            <w:r w:rsidRPr="00B47F53">
              <w:rPr>
                <w:rFonts w:ascii="Times New Roman" w:eastAsia="Times New Roman" w:hAnsi="Times New Roman" w:cs="Times New Roman"/>
                <w:b/>
                <w:bCs/>
                <w:sz w:val="20"/>
                <w:szCs w:val="20"/>
                <w:lang w:val="en-US"/>
              </w:rPr>
              <w:t>Risk-Weights of Original Counterparties</w:t>
            </w:r>
          </w:p>
        </w:tc>
        <w:tc>
          <w:tcPr>
            <w:tcW w:w="1196" w:type="dxa"/>
            <w:hideMark/>
          </w:tcPr>
          <w:p w14:paraId="341DD89D" w14:textId="77777777" w:rsidR="0069629D" w:rsidRPr="00B47F53" w:rsidRDefault="0069629D" w:rsidP="0069629D">
            <w:pPr>
              <w:jc w:val="right"/>
              <w:rPr>
                <w:rFonts w:ascii="Times New Roman" w:eastAsia="Times New Roman" w:hAnsi="Times New Roman" w:cs="Times New Roman"/>
                <w:b/>
                <w:bCs/>
                <w:sz w:val="20"/>
                <w:szCs w:val="20"/>
                <w:lang w:val="en-US"/>
              </w:rPr>
            </w:pPr>
            <w:r w:rsidRPr="00B47F53">
              <w:rPr>
                <w:rFonts w:ascii="Times New Roman" w:eastAsia="Times New Roman" w:hAnsi="Times New Roman" w:cs="Times New Roman"/>
                <w:b/>
                <w:bCs/>
                <w:sz w:val="20"/>
                <w:szCs w:val="20"/>
                <w:lang w:val="en-US"/>
              </w:rPr>
              <w:t>Risk Weighted Assets</w:t>
            </w:r>
          </w:p>
        </w:tc>
      </w:tr>
      <w:tr w:rsidR="0069629D" w:rsidRPr="00B47F53" w14:paraId="6A96D083" w14:textId="77777777" w:rsidTr="000645BD">
        <w:trPr>
          <w:trHeight w:val="300"/>
        </w:trPr>
        <w:tc>
          <w:tcPr>
            <w:tcW w:w="4855" w:type="dxa"/>
            <w:noWrap/>
            <w:hideMark/>
          </w:tcPr>
          <w:p w14:paraId="7A243430" w14:textId="77777777" w:rsidR="0069629D" w:rsidRPr="00B47F53" w:rsidRDefault="0069629D" w:rsidP="0069629D">
            <w:pPr>
              <w:rPr>
                <w:rFonts w:ascii="Times New Roman" w:eastAsia="Times New Roman" w:hAnsi="Times New Roman" w:cs="Times New Roman"/>
                <w:b/>
                <w:bCs/>
                <w:sz w:val="20"/>
                <w:szCs w:val="20"/>
                <w:lang w:val="en-US"/>
              </w:rPr>
            </w:pPr>
            <w:r w:rsidRPr="00B47F53">
              <w:rPr>
                <w:rFonts w:ascii="Times New Roman" w:eastAsia="Times New Roman" w:hAnsi="Times New Roman" w:cs="Times New Roman"/>
                <w:b/>
                <w:bCs/>
                <w:sz w:val="20"/>
                <w:szCs w:val="20"/>
                <w:lang w:val="en-US"/>
              </w:rPr>
              <w:t>On-Balance Sheet Exposures</w:t>
            </w:r>
          </w:p>
        </w:tc>
        <w:tc>
          <w:tcPr>
            <w:tcW w:w="1371" w:type="dxa"/>
            <w:hideMark/>
          </w:tcPr>
          <w:p w14:paraId="59F32107" w14:textId="77777777" w:rsidR="0069629D" w:rsidRPr="00B47F53" w:rsidRDefault="0069629D" w:rsidP="0069629D">
            <w:pPr>
              <w:jc w:val="right"/>
              <w:rPr>
                <w:rFonts w:ascii="Times New Roman" w:eastAsia="Times New Roman" w:hAnsi="Times New Roman" w:cs="Times New Roman"/>
                <w:b/>
                <w:bCs/>
                <w:sz w:val="20"/>
                <w:szCs w:val="20"/>
                <w:lang w:val="en-US"/>
              </w:rPr>
            </w:pPr>
            <w:r w:rsidRPr="00B47F53">
              <w:rPr>
                <w:rFonts w:ascii="Times New Roman" w:eastAsia="Times New Roman" w:hAnsi="Times New Roman" w:cs="Times New Roman"/>
                <w:b/>
                <w:bCs/>
                <w:sz w:val="20"/>
                <w:szCs w:val="20"/>
                <w:lang w:val="en-US"/>
              </w:rPr>
              <w:t>P'000</w:t>
            </w:r>
          </w:p>
        </w:tc>
        <w:tc>
          <w:tcPr>
            <w:tcW w:w="1594" w:type="dxa"/>
            <w:hideMark/>
          </w:tcPr>
          <w:p w14:paraId="5F46F2AA" w14:textId="77777777" w:rsidR="0069629D" w:rsidRPr="00B47F53" w:rsidRDefault="0069629D" w:rsidP="0069629D">
            <w:pPr>
              <w:jc w:val="center"/>
              <w:rPr>
                <w:rFonts w:ascii="Times New Roman" w:eastAsia="Times New Roman" w:hAnsi="Times New Roman" w:cs="Times New Roman"/>
                <w:b/>
                <w:bCs/>
                <w:sz w:val="20"/>
                <w:szCs w:val="20"/>
                <w:lang w:val="en-US"/>
              </w:rPr>
            </w:pPr>
            <w:r w:rsidRPr="00B47F53">
              <w:rPr>
                <w:rFonts w:ascii="Times New Roman" w:eastAsia="Times New Roman" w:hAnsi="Times New Roman" w:cs="Times New Roman"/>
                <w:b/>
                <w:bCs/>
                <w:sz w:val="20"/>
                <w:szCs w:val="20"/>
                <w:lang w:val="en-US"/>
              </w:rPr>
              <w:t> </w:t>
            </w:r>
          </w:p>
        </w:tc>
        <w:tc>
          <w:tcPr>
            <w:tcW w:w="1196" w:type="dxa"/>
            <w:hideMark/>
          </w:tcPr>
          <w:p w14:paraId="3FD85DE4" w14:textId="77777777" w:rsidR="0069629D" w:rsidRPr="00B47F53" w:rsidRDefault="0069629D" w:rsidP="0069629D">
            <w:pPr>
              <w:jc w:val="right"/>
              <w:rPr>
                <w:rFonts w:ascii="Times New Roman" w:eastAsia="Times New Roman" w:hAnsi="Times New Roman" w:cs="Times New Roman"/>
                <w:b/>
                <w:bCs/>
                <w:sz w:val="20"/>
                <w:szCs w:val="20"/>
                <w:lang w:val="en-US"/>
              </w:rPr>
            </w:pPr>
            <w:r w:rsidRPr="00B47F53">
              <w:rPr>
                <w:rFonts w:ascii="Times New Roman" w:eastAsia="Times New Roman" w:hAnsi="Times New Roman" w:cs="Times New Roman"/>
                <w:b/>
                <w:bCs/>
                <w:sz w:val="20"/>
                <w:szCs w:val="20"/>
                <w:lang w:val="en-US"/>
              </w:rPr>
              <w:t>P'000</w:t>
            </w:r>
          </w:p>
        </w:tc>
      </w:tr>
      <w:tr w:rsidR="00E879FA" w:rsidRPr="00B47F53" w14:paraId="3E69DEC2" w14:textId="77777777" w:rsidTr="00ED66C0">
        <w:trPr>
          <w:trHeight w:val="300"/>
        </w:trPr>
        <w:tc>
          <w:tcPr>
            <w:tcW w:w="4855" w:type="dxa"/>
            <w:noWrap/>
            <w:hideMark/>
          </w:tcPr>
          <w:p w14:paraId="36CA25E1" w14:textId="77777777" w:rsidR="00E879FA" w:rsidRPr="00B47F53" w:rsidRDefault="00E879FA" w:rsidP="00E879FA">
            <w:pPr>
              <w:rPr>
                <w:rFonts w:ascii="Times New Roman" w:eastAsia="Times New Roman" w:hAnsi="Times New Roman" w:cs="Times New Roman"/>
                <w:sz w:val="20"/>
                <w:szCs w:val="20"/>
                <w:lang w:val="en-US"/>
              </w:rPr>
            </w:pPr>
            <w:r w:rsidRPr="00B47F53">
              <w:rPr>
                <w:rFonts w:ascii="Times New Roman" w:eastAsia="Times New Roman" w:hAnsi="Times New Roman" w:cs="Times New Roman"/>
                <w:sz w:val="20"/>
                <w:szCs w:val="20"/>
                <w:lang w:val="en-US"/>
              </w:rPr>
              <w:t xml:space="preserve">Cash </w:t>
            </w:r>
          </w:p>
        </w:tc>
        <w:tc>
          <w:tcPr>
            <w:tcW w:w="1371" w:type="dxa"/>
            <w:hideMark/>
          </w:tcPr>
          <w:p w14:paraId="041BFEFC" w14:textId="065A808F" w:rsidR="00E879FA" w:rsidRPr="00E879FA" w:rsidRDefault="00F4207B" w:rsidP="00E879FA">
            <w:pPr>
              <w:jc w:val="right"/>
              <w:rPr>
                <w:rFonts w:ascii="Times New Roman" w:eastAsia="Times New Roman" w:hAnsi="Times New Roman" w:cs="Times New Roman"/>
                <w:sz w:val="20"/>
                <w:szCs w:val="20"/>
                <w:lang w:val="en-US"/>
              </w:rPr>
            </w:pPr>
            <w:r w:rsidRPr="00F4207B">
              <w:rPr>
                <w:rFonts w:ascii="Times New Roman" w:hAnsi="Times New Roman" w:cs="Times New Roman"/>
                <w:sz w:val="20"/>
                <w:szCs w:val="20"/>
              </w:rPr>
              <w:t>42,506</w:t>
            </w:r>
          </w:p>
        </w:tc>
        <w:tc>
          <w:tcPr>
            <w:tcW w:w="1594" w:type="dxa"/>
            <w:noWrap/>
            <w:hideMark/>
          </w:tcPr>
          <w:p w14:paraId="4111BFA5" w14:textId="5820E8EA" w:rsidR="00E879FA" w:rsidRPr="00E879FA" w:rsidRDefault="00E879FA" w:rsidP="00E879FA">
            <w:pPr>
              <w:jc w:val="center"/>
              <w:rPr>
                <w:rFonts w:ascii="Times New Roman" w:eastAsia="Times New Roman" w:hAnsi="Times New Roman" w:cs="Times New Roman"/>
                <w:sz w:val="20"/>
                <w:szCs w:val="20"/>
                <w:lang w:val="en-US"/>
              </w:rPr>
            </w:pPr>
            <w:r w:rsidRPr="00E879FA">
              <w:rPr>
                <w:rFonts w:ascii="Times New Roman" w:hAnsi="Times New Roman" w:cs="Times New Roman"/>
                <w:sz w:val="20"/>
                <w:szCs w:val="20"/>
              </w:rPr>
              <w:t>0%</w:t>
            </w:r>
          </w:p>
        </w:tc>
        <w:tc>
          <w:tcPr>
            <w:tcW w:w="1196" w:type="dxa"/>
            <w:noWrap/>
            <w:hideMark/>
          </w:tcPr>
          <w:p w14:paraId="60F1FC53" w14:textId="2ED3F078" w:rsidR="00E879FA" w:rsidRPr="00E879FA" w:rsidRDefault="00E879FA" w:rsidP="00E879FA">
            <w:pPr>
              <w:jc w:val="right"/>
              <w:rPr>
                <w:rFonts w:ascii="Times New Roman" w:eastAsia="Times New Roman" w:hAnsi="Times New Roman" w:cs="Times New Roman"/>
                <w:sz w:val="20"/>
                <w:szCs w:val="20"/>
                <w:lang w:val="en-US"/>
              </w:rPr>
            </w:pPr>
            <w:r w:rsidRPr="00E879FA">
              <w:rPr>
                <w:rFonts w:ascii="Times New Roman" w:hAnsi="Times New Roman" w:cs="Times New Roman"/>
                <w:sz w:val="20"/>
                <w:szCs w:val="20"/>
              </w:rPr>
              <w:t xml:space="preserve"> -   </w:t>
            </w:r>
          </w:p>
        </w:tc>
      </w:tr>
      <w:tr w:rsidR="00E879FA" w:rsidRPr="00B47F53" w14:paraId="426DE0DC" w14:textId="77777777" w:rsidTr="00ED66C0">
        <w:trPr>
          <w:trHeight w:val="300"/>
        </w:trPr>
        <w:tc>
          <w:tcPr>
            <w:tcW w:w="4855" w:type="dxa"/>
            <w:hideMark/>
          </w:tcPr>
          <w:p w14:paraId="7E9393D0" w14:textId="77777777" w:rsidR="00E879FA" w:rsidRPr="00B47F53" w:rsidRDefault="00E879FA" w:rsidP="00E879FA">
            <w:pPr>
              <w:rPr>
                <w:rFonts w:ascii="Times New Roman" w:eastAsia="Times New Roman" w:hAnsi="Times New Roman" w:cs="Times New Roman"/>
                <w:sz w:val="20"/>
                <w:szCs w:val="20"/>
                <w:lang w:val="en-US"/>
              </w:rPr>
            </w:pPr>
            <w:r w:rsidRPr="00B47F53">
              <w:rPr>
                <w:rFonts w:ascii="Times New Roman" w:eastAsia="Times New Roman" w:hAnsi="Times New Roman" w:cs="Times New Roman"/>
                <w:sz w:val="20"/>
                <w:szCs w:val="20"/>
                <w:lang w:val="en-US"/>
              </w:rPr>
              <w:t>Balances with Bank of Botswana</w:t>
            </w:r>
          </w:p>
        </w:tc>
        <w:tc>
          <w:tcPr>
            <w:tcW w:w="1371" w:type="dxa"/>
            <w:hideMark/>
          </w:tcPr>
          <w:p w14:paraId="7E9A7C82" w14:textId="53B1894B" w:rsidR="00E879FA" w:rsidRPr="00E879FA" w:rsidRDefault="00F4207B" w:rsidP="00E879FA">
            <w:pPr>
              <w:jc w:val="right"/>
              <w:rPr>
                <w:rFonts w:ascii="Times New Roman" w:eastAsia="Times New Roman" w:hAnsi="Times New Roman" w:cs="Times New Roman"/>
                <w:sz w:val="20"/>
                <w:szCs w:val="20"/>
                <w:lang w:val="en-US"/>
              </w:rPr>
            </w:pPr>
            <w:r w:rsidRPr="00F4207B">
              <w:rPr>
                <w:rFonts w:ascii="Times New Roman" w:hAnsi="Times New Roman" w:cs="Times New Roman"/>
                <w:sz w:val="20"/>
                <w:szCs w:val="20"/>
              </w:rPr>
              <w:t>423,380</w:t>
            </w:r>
          </w:p>
        </w:tc>
        <w:tc>
          <w:tcPr>
            <w:tcW w:w="1594" w:type="dxa"/>
            <w:noWrap/>
            <w:hideMark/>
          </w:tcPr>
          <w:p w14:paraId="07A78170" w14:textId="02254A8E" w:rsidR="00E879FA" w:rsidRPr="00E879FA" w:rsidRDefault="00E879FA" w:rsidP="00E879FA">
            <w:pPr>
              <w:jc w:val="center"/>
              <w:rPr>
                <w:rFonts w:ascii="Times New Roman" w:eastAsia="Times New Roman" w:hAnsi="Times New Roman" w:cs="Times New Roman"/>
                <w:sz w:val="20"/>
                <w:szCs w:val="20"/>
                <w:lang w:val="en-US"/>
              </w:rPr>
            </w:pPr>
            <w:r w:rsidRPr="00E879FA">
              <w:rPr>
                <w:rFonts w:ascii="Times New Roman" w:hAnsi="Times New Roman" w:cs="Times New Roman"/>
                <w:sz w:val="20"/>
                <w:szCs w:val="20"/>
              </w:rPr>
              <w:t>0%</w:t>
            </w:r>
          </w:p>
        </w:tc>
        <w:tc>
          <w:tcPr>
            <w:tcW w:w="1196" w:type="dxa"/>
            <w:noWrap/>
            <w:hideMark/>
          </w:tcPr>
          <w:p w14:paraId="401D630E" w14:textId="70756AC2" w:rsidR="00E879FA" w:rsidRPr="00E879FA" w:rsidRDefault="00E879FA" w:rsidP="00E879FA">
            <w:pPr>
              <w:jc w:val="right"/>
              <w:rPr>
                <w:rFonts w:ascii="Times New Roman" w:eastAsia="Times New Roman" w:hAnsi="Times New Roman" w:cs="Times New Roman"/>
                <w:sz w:val="20"/>
                <w:szCs w:val="20"/>
                <w:lang w:val="en-US"/>
              </w:rPr>
            </w:pPr>
            <w:r w:rsidRPr="00E879FA">
              <w:rPr>
                <w:rFonts w:ascii="Times New Roman" w:hAnsi="Times New Roman" w:cs="Times New Roman"/>
                <w:sz w:val="20"/>
                <w:szCs w:val="20"/>
              </w:rPr>
              <w:t xml:space="preserve"> -   </w:t>
            </w:r>
          </w:p>
        </w:tc>
      </w:tr>
      <w:tr w:rsidR="00E879FA" w:rsidRPr="00B47F53" w14:paraId="08A7F1BD" w14:textId="77777777" w:rsidTr="00ED66C0">
        <w:trPr>
          <w:trHeight w:val="300"/>
        </w:trPr>
        <w:tc>
          <w:tcPr>
            <w:tcW w:w="4855" w:type="dxa"/>
            <w:hideMark/>
          </w:tcPr>
          <w:p w14:paraId="0C582A6C" w14:textId="77777777" w:rsidR="00E879FA" w:rsidRPr="00B47F53" w:rsidRDefault="00E879FA" w:rsidP="00E879FA">
            <w:pPr>
              <w:rPr>
                <w:rFonts w:ascii="Times New Roman" w:eastAsia="Times New Roman" w:hAnsi="Times New Roman" w:cs="Times New Roman"/>
                <w:sz w:val="20"/>
                <w:szCs w:val="20"/>
                <w:lang w:val="en-US"/>
              </w:rPr>
            </w:pPr>
            <w:r w:rsidRPr="00B47F53">
              <w:rPr>
                <w:rFonts w:ascii="Times New Roman" w:eastAsia="Times New Roman" w:hAnsi="Times New Roman" w:cs="Times New Roman"/>
                <w:sz w:val="20"/>
                <w:szCs w:val="20"/>
                <w:lang w:val="en-US"/>
              </w:rPr>
              <w:t>Claims on Sovereign or Central banks</w:t>
            </w:r>
          </w:p>
        </w:tc>
        <w:tc>
          <w:tcPr>
            <w:tcW w:w="1371" w:type="dxa"/>
            <w:hideMark/>
          </w:tcPr>
          <w:p w14:paraId="2D602430" w14:textId="02206C91" w:rsidR="00E879FA" w:rsidRPr="00E879FA" w:rsidRDefault="00C04CAA" w:rsidP="00E879FA">
            <w:pPr>
              <w:jc w:val="right"/>
              <w:rPr>
                <w:rFonts w:ascii="Times New Roman" w:eastAsia="Times New Roman" w:hAnsi="Times New Roman" w:cs="Times New Roman"/>
                <w:sz w:val="20"/>
                <w:szCs w:val="20"/>
                <w:lang w:val="en-US"/>
              </w:rPr>
            </w:pPr>
            <w:r w:rsidRPr="00C04CAA">
              <w:rPr>
                <w:rFonts w:ascii="Times New Roman" w:hAnsi="Times New Roman" w:cs="Times New Roman"/>
                <w:sz w:val="20"/>
                <w:szCs w:val="20"/>
              </w:rPr>
              <w:t>30</w:t>
            </w:r>
          </w:p>
        </w:tc>
        <w:tc>
          <w:tcPr>
            <w:tcW w:w="1594" w:type="dxa"/>
            <w:noWrap/>
            <w:hideMark/>
          </w:tcPr>
          <w:p w14:paraId="5C590CB1" w14:textId="02082D72" w:rsidR="00E879FA" w:rsidRPr="00E879FA" w:rsidRDefault="00E879FA" w:rsidP="00E879FA">
            <w:pPr>
              <w:jc w:val="center"/>
              <w:rPr>
                <w:rFonts w:ascii="Times New Roman" w:eastAsia="Times New Roman" w:hAnsi="Times New Roman" w:cs="Times New Roman"/>
                <w:sz w:val="20"/>
                <w:szCs w:val="20"/>
                <w:lang w:val="en-US"/>
              </w:rPr>
            </w:pPr>
            <w:r w:rsidRPr="00E879FA">
              <w:rPr>
                <w:rFonts w:ascii="Times New Roman" w:hAnsi="Times New Roman" w:cs="Times New Roman"/>
                <w:sz w:val="20"/>
                <w:szCs w:val="20"/>
              </w:rPr>
              <w:t>150%</w:t>
            </w:r>
          </w:p>
        </w:tc>
        <w:tc>
          <w:tcPr>
            <w:tcW w:w="1196" w:type="dxa"/>
            <w:noWrap/>
            <w:hideMark/>
          </w:tcPr>
          <w:p w14:paraId="5F48D889" w14:textId="49407D1B" w:rsidR="00E879FA" w:rsidRPr="00E879FA" w:rsidRDefault="00C04CAA" w:rsidP="00E879FA">
            <w:pPr>
              <w:jc w:val="right"/>
              <w:rPr>
                <w:rFonts w:ascii="Times New Roman" w:eastAsia="Times New Roman" w:hAnsi="Times New Roman" w:cs="Times New Roman"/>
                <w:sz w:val="20"/>
                <w:szCs w:val="20"/>
                <w:lang w:val="en-US"/>
              </w:rPr>
            </w:pPr>
            <w:r w:rsidRPr="00C04CAA">
              <w:rPr>
                <w:rFonts w:ascii="Times New Roman" w:hAnsi="Times New Roman" w:cs="Times New Roman"/>
                <w:sz w:val="20"/>
                <w:szCs w:val="20"/>
              </w:rPr>
              <w:t>45</w:t>
            </w:r>
          </w:p>
        </w:tc>
      </w:tr>
      <w:tr w:rsidR="00E879FA" w:rsidRPr="00B47F53" w14:paraId="39372260" w14:textId="77777777" w:rsidTr="00ED66C0">
        <w:trPr>
          <w:trHeight w:val="300"/>
        </w:trPr>
        <w:tc>
          <w:tcPr>
            <w:tcW w:w="4855" w:type="dxa"/>
            <w:hideMark/>
          </w:tcPr>
          <w:p w14:paraId="2DF19DB4" w14:textId="77777777" w:rsidR="00E879FA" w:rsidRPr="00B47F53" w:rsidRDefault="00E879FA" w:rsidP="00E879FA">
            <w:pPr>
              <w:jc w:val="both"/>
              <w:rPr>
                <w:rFonts w:ascii="Times New Roman" w:eastAsia="Times New Roman" w:hAnsi="Times New Roman" w:cs="Times New Roman"/>
                <w:sz w:val="20"/>
                <w:szCs w:val="20"/>
                <w:lang w:val="en-US"/>
              </w:rPr>
            </w:pPr>
            <w:r w:rsidRPr="00B47F53">
              <w:rPr>
                <w:rFonts w:ascii="Times New Roman" w:eastAsia="Times New Roman" w:hAnsi="Times New Roman" w:cs="Times New Roman"/>
                <w:sz w:val="20"/>
                <w:szCs w:val="20"/>
                <w:lang w:val="en-US"/>
              </w:rPr>
              <w:t>Balances with domestic banks</w:t>
            </w:r>
          </w:p>
        </w:tc>
        <w:tc>
          <w:tcPr>
            <w:tcW w:w="1371" w:type="dxa"/>
            <w:hideMark/>
          </w:tcPr>
          <w:p w14:paraId="293BC527" w14:textId="287C943D" w:rsidR="00E879FA" w:rsidRPr="00E879FA" w:rsidRDefault="00F4207B" w:rsidP="00E879FA">
            <w:pPr>
              <w:jc w:val="right"/>
              <w:rPr>
                <w:rFonts w:ascii="Times New Roman" w:eastAsia="Times New Roman" w:hAnsi="Times New Roman" w:cs="Times New Roman"/>
                <w:sz w:val="20"/>
                <w:szCs w:val="20"/>
                <w:lang w:val="en-US"/>
              </w:rPr>
            </w:pPr>
            <w:r w:rsidRPr="00F4207B">
              <w:rPr>
                <w:rFonts w:ascii="Times New Roman" w:hAnsi="Times New Roman" w:cs="Times New Roman"/>
                <w:sz w:val="20"/>
                <w:szCs w:val="20"/>
              </w:rPr>
              <w:t>372,229</w:t>
            </w:r>
          </w:p>
        </w:tc>
        <w:tc>
          <w:tcPr>
            <w:tcW w:w="1594" w:type="dxa"/>
            <w:noWrap/>
            <w:hideMark/>
          </w:tcPr>
          <w:p w14:paraId="75073CEF" w14:textId="44796A70" w:rsidR="00E879FA" w:rsidRPr="00E879FA" w:rsidRDefault="00E879FA" w:rsidP="00E879FA">
            <w:pPr>
              <w:jc w:val="center"/>
              <w:rPr>
                <w:rFonts w:ascii="Times New Roman" w:eastAsia="Times New Roman" w:hAnsi="Times New Roman" w:cs="Times New Roman"/>
                <w:sz w:val="20"/>
                <w:szCs w:val="20"/>
                <w:lang w:val="en-US"/>
              </w:rPr>
            </w:pPr>
            <w:r w:rsidRPr="00E879FA">
              <w:rPr>
                <w:rFonts w:ascii="Times New Roman" w:hAnsi="Times New Roman" w:cs="Times New Roman"/>
                <w:sz w:val="20"/>
                <w:szCs w:val="20"/>
              </w:rPr>
              <w:t>20%</w:t>
            </w:r>
          </w:p>
        </w:tc>
        <w:tc>
          <w:tcPr>
            <w:tcW w:w="1196" w:type="dxa"/>
            <w:noWrap/>
            <w:hideMark/>
          </w:tcPr>
          <w:p w14:paraId="31B99FE0" w14:textId="1D61A54C" w:rsidR="00E879FA" w:rsidRPr="00E879FA" w:rsidRDefault="00AC03CC" w:rsidP="00E879FA">
            <w:pPr>
              <w:jc w:val="right"/>
              <w:rPr>
                <w:rFonts w:ascii="Times New Roman" w:eastAsia="Times New Roman" w:hAnsi="Times New Roman" w:cs="Times New Roman"/>
                <w:sz w:val="20"/>
                <w:szCs w:val="20"/>
                <w:lang w:val="en-US"/>
              </w:rPr>
            </w:pPr>
            <w:r w:rsidRPr="00AC03CC">
              <w:rPr>
                <w:rFonts w:ascii="Times New Roman" w:hAnsi="Times New Roman" w:cs="Times New Roman"/>
                <w:sz w:val="20"/>
                <w:szCs w:val="20"/>
              </w:rPr>
              <w:t>74,446</w:t>
            </w:r>
          </w:p>
        </w:tc>
      </w:tr>
      <w:tr w:rsidR="00E879FA" w:rsidRPr="00B47F53" w14:paraId="0CAC9673" w14:textId="77777777" w:rsidTr="00ED66C0">
        <w:trPr>
          <w:trHeight w:val="300"/>
        </w:trPr>
        <w:tc>
          <w:tcPr>
            <w:tcW w:w="4855" w:type="dxa"/>
            <w:hideMark/>
          </w:tcPr>
          <w:p w14:paraId="132E9A17" w14:textId="77777777" w:rsidR="00E879FA" w:rsidRPr="00B47F53" w:rsidRDefault="00E879FA" w:rsidP="00E879FA">
            <w:pPr>
              <w:jc w:val="both"/>
              <w:rPr>
                <w:rFonts w:ascii="Times New Roman" w:eastAsia="Times New Roman" w:hAnsi="Times New Roman" w:cs="Times New Roman"/>
                <w:sz w:val="20"/>
                <w:szCs w:val="20"/>
                <w:lang w:val="en-US"/>
              </w:rPr>
            </w:pPr>
            <w:r w:rsidRPr="00B47F53">
              <w:rPr>
                <w:rFonts w:ascii="Times New Roman" w:eastAsia="Times New Roman" w:hAnsi="Times New Roman" w:cs="Times New Roman"/>
                <w:sz w:val="20"/>
                <w:szCs w:val="20"/>
                <w:lang w:val="en-US"/>
              </w:rPr>
              <w:t>Balances with Domestic Public Sector Entities</w:t>
            </w:r>
          </w:p>
        </w:tc>
        <w:tc>
          <w:tcPr>
            <w:tcW w:w="1371" w:type="dxa"/>
            <w:hideMark/>
          </w:tcPr>
          <w:p w14:paraId="7DDA1654" w14:textId="52B1FDD0" w:rsidR="00E879FA" w:rsidRPr="00E879FA" w:rsidRDefault="00E879FA" w:rsidP="00E879FA">
            <w:pPr>
              <w:jc w:val="right"/>
              <w:rPr>
                <w:rFonts w:ascii="Times New Roman" w:eastAsia="Times New Roman" w:hAnsi="Times New Roman" w:cs="Times New Roman"/>
                <w:sz w:val="20"/>
                <w:szCs w:val="20"/>
                <w:lang w:val="en-US"/>
              </w:rPr>
            </w:pPr>
            <w:r w:rsidRPr="00E879FA">
              <w:rPr>
                <w:rFonts w:ascii="Times New Roman" w:hAnsi="Times New Roman" w:cs="Times New Roman"/>
                <w:sz w:val="20"/>
                <w:szCs w:val="20"/>
              </w:rPr>
              <w:t>65,000</w:t>
            </w:r>
          </w:p>
        </w:tc>
        <w:tc>
          <w:tcPr>
            <w:tcW w:w="1594" w:type="dxa"/>
            <w:noWrap/>
            <w:hideMark/>
          </w:tcPr>
          <w:p w14:paraId="32979AA3" w14:textId="19F3A784" w:rsidR="00E879FA" w:rsidRPr="00E879FA" w:rsidRDefault="00E879FA" w:rsidP="00E879FA">
            <w:pPr>
              <w:jc w:val="center"/>
              <w:rPr>
                <w:rFonts w:ascii="Times New Roman" w:eastAsia="Times New Roman" w:hAnsi="Times New Roman" w:cs="Times New Roman"/>
                <w:sz w:val="20"/>
                <w:szCs w:val="20"/>
                <w:lang w:val="en-US"/>
              </w:rPr>
            </w:pPr>
            <w:r w:rsidRPr="00E879FA">
              <w:rPr>
                <w:rFonts w:ascii="Times New Roman" w:hAnsi="Times New Roman" w:cs="Times New Roman"/>
                <w:sz w:val="20"/>
                <w:szCs w:val="20"/>
              </w:rPr>
              <w:t>20%</w:t>
            </w:r>
          </w:p>
        </w:tc>
        <w:tc>
          <w:tcPr>
            <w:tcW w:w="1196" w:type="dxa"/>
            <w:noWrap/>
            <w:hideMark/>
          </w:tcPr>
          <w:p w14:paraId="7D143E72" w14:textId="276591DD" w:rsidR="00E879FA" w:rsidRPr="00E879FA" w:rsidRDefault="00E879FA" w:rsidP="00E879FA">
            <w:pPr>
              <w:jc w:val="right"/>
              <w:rPr>
                <w:rFonts w:ascii="Times New Roman" w:eastAsia="Times New Roman" w:hAnsi="Times New Roman" w:cs="Times New Roman"/>
                <w:sz w:val="20"/>
                <w:szCs w:val="20"/>
                <w:lang w:val="en-US"/>
              </w:rPr>
            </w:pPr>
            <w:r w:rsidRPr="00E879FA">
              <w:rPr>
                <w:rFonts w:ascii="Times New Roman" w:hAnsi="Times New Roman" w:cs="Times New Roman"/>
                <w:sz w:val="20"/>
                <w:szCs w:val="20"/>
              </w:rPr>
              <w:t>13,000</w:t>
            </w:r>
          </w:p>
        </w:tc>
      </w:tr>
      <w:tr w:rsidR="00E879FA" w:rsidRPr="00B47F53" w14:paraId="4885B479" w14:textId="77777777" w:rsidTr="00ED66C0">
        <w:trPr>
          <w:trHeight w:val="300"/>
        </w:trPr>
        <w:tc>
          <w:tcPr>
            <w:tcW w:w="4855" w:type="dxa"/>
            <w:hideMark/>
          </w:tcPr>
          <w:p w14:paraId="54147725" w14:textId="68958522" w:rsidR="00E879FA" w:rsidRPr="00B47F53" w:rsidRDefault="00E879FA" w:rsidP="00E879FA">
            <w:pPr>
              <w:jc w:val="both"/>
              <w:rPr>
                <w:rFonts w:ascii="Times New Roman" w:eastAsia="Times New Roman" w:hAnsi="Times New Roman" w:cs="Times New Roman"/>
                <w:sz w:val="20"/>
                <w:szCs w:val="20"/>
                <w:lang w:val="en-US"/>
              </w:rPr>
            </w:pPr>
            <w:r w:rsidRPr="00B47F53">
              <w:rPr>
                <w:rFonts w:ascii="Times New Roman" w:eastAsia="Times New Roman" w:hAnsi="Times New Roman" w:cs="Times New Roman"/>
                <w:sz w:val="20"/>
                <w:szCs w:val="20"/>
                <w:lang w:val="en-US"/>
              </w:rPr>
              <w:t>Balances with foreign bank</w:t>
            </w:r>
            <w:r>
              <w:rPr>
                <w:rFonts w:ascii="Times New Roman" w:eastAsia="Times New Roman" w:hAnsi="Times New Roman" w:cs="Times New Roman"/>
                <w:sz w:val="20"/>
                <w:szCs w:val="20"/>
                <w:lang w:val="en-US"/>
              </w:rPr>
              <w:t xml:space="preserve"> </w:t>
            </w:r>
            <w:r w:rsidRPr="00B47F53">
              <w:rPr>
                <w:rFonts w:ascii="Times New Roman" w:eastAsia="Times New Roman" w:hAnsi="Times New Roman" w:cs="Times New Roman"/>
                <w:sz w:val="20"/>
                <w:szCs w:val="20"/>
                <w:lang w:val="en-US"/>
              </w:rPr>
              <w:t>(credit rating AAA to AA-)</w:t>
            </w:r>
          </w:p>
        </w:tc>
        <w:tc>
          <w:tcPr>
            <w:tcW w:w="1371" w:type="dxa"/>
            <w:hideMark/>
          </w:tcPr>
          <w:p w14:paraId="302B9737" w14:textId="11F68841" w:rsidR="00E879FA" w:rsidRPr="00E879FA" w:rsidRDefault="007939C3" w:rsidP="00E879FA">
            <w:pPr>
              <w:jc w:val="right"/>
              <w:rPr>
                <w:rFonts w:ascii="Times New Roman" w:eastAsia="Times New Roman" w:hAnsi="Times New Roman" w:cs="Times New Roman"/>
                <w:sz w:val="20"/>
                <w:szCs w:val="20"/>
                <w:lang w:val="en-US"/>
              </w:rPr>
            </w:pPr>
            <w:r>
              <w:rPr>
                <w:rFonts w:ascii="Times New Roman" w:hAnsi="Times New Roman" w:cs="Times New Roman"/>
                <w:sz w:val="20"/>
                <w:szCs w:val="20"/>
              </w:rPr>
              <w:t>-</w:t>
            </w:r>
          </w:p>
        </w:tc>
        <w:tc>
          <w:tcPr>
            <w:tcW w:w="1594" w:type="dxa"/>
            <w:noWrap/>
            <w:hideMark/>
          </w:tcPr>
          <w:p w14:paraId="1354EB7B" w14:textId="445B9B7E" w:rsidR="00E879FA" w:rsidRPr="00E879FA" w:rsidRDefault="00E879FA" w:rsidP="00E879FA">
            <w:pPr>
              <w:jc w:val="center"/>
              <w:rPr>
                <w:rFonts w:ascii="Times New Roman" w:eastAsia="Times New Roman" w:hAnsi="Times New Roman" w:cs="Times New Roman"/>
                <w:sz w:val="20"/>
                <w:szCs w:val="20"/>
                <w:lang w:val="en-US"/>
              </w:rPr>
            </w:pPr>
            <w:r w:rsidRPr="00E879FA">
              <w:rPr>
                <w:rFonts w:ascii="Times New Roman" w:hAnsi="Times New Roman" w:cs="Times New Roman"/>
                <w:sz w:val="20"/>
                <w:szCs w:val="20"/>
              </w:rPr>
              <w:t>20%</w:t>
            </w:r>
          </w:p>
        </w:tc>
        <w:tc>
          <w:tcPr>
            <w:tcW w:w="1196" w:type="dxa"/>
            <w:noWrap/>
            <w:hideMark/>
          </w:tcPr>
          <w:p w14:paraId="3BDA80A3" w14:textId="5E715C72" w:rsidR="00E879FA" w:rsidRPr="00E879FA" w:rsidRDefault="007939C3" w:rsidP="00E879FA">
            <w:pPr>
              <w:jc w:val="right"/>
              <w:rPr>
                <w:rFonts w:ascii="Times New Roman" w:eastAsia="Times New Roman" w:hAnsi="Times New Roman" w:cs="Times New Roman"/>
                <w:sz w:val="20"/>
                <w:szCs w:val="20"/>
                <w:lang w:val="en-US"/>
              </w:rPr>
            </w:pPr>
            <w:r>
              <w:rPr>
                <w:rFonts w:ascii="Times New Roman" w:hAnsi="Times New Roman" w:cs="Times New Roman"/>
                <w:sz w:val="20"/>
                <w:szCs w:val="20"/>
              </w:rPr>
              <w:t>-</w:t>
            </w:r>
          </w:p>
        </w:tc>
      </w:tr>
      <w:tr w:rsidR="00E879FA" w:rsidRPr="00B47F53" w14:paraId="4EF4AC3E" w14:textId="77777777" w:rsidTr="00ED66C0">
        <w:trPr>
          <w:trHeight w:val="300"/>
        </w:trPr>
        <w:tc>
          <w:tcPr>
            <w:tcW w:w="4855" w:type="dxa"/>
          </w:tcPr>
          <w:p w14:paraId="6CD42D61" w14:textId="41E5C631" w:rsidR="00E879FA" w:rsidRPr="00B47F53" w:rsidRDefault="00E879FA" w:rsidP="00E879FA">
            <w:pPr>
              <w:jc w:val="both"/>
              <w:rPr>
                <w:rFonts w:ascii="Times New Roman" w:eastAsia="Times New Roman" w:hAnsi="Times New Roman" w:cs="Times New Roman"/>
                <w:sz w:val="20"/>
                <w:szCs w:val="20"/>
                <w:lang w:val="en-US"/>
              </w:rPr>
            </w:pPr>
            <w:r w:rsidRPr="00B47F53">
              <w:rPr>
                <w:rFonts w:ascii="Times New Roman" w:eastAsia="Times New Roman" w:hAnsi="Times New Roman" w:cs="Times New Roman"/>
                <w:sz w:val="20"/>
                <w:szCs w:val="20"/>
                <w:lang w:val="en-US"/>
              </w:rPr>
              <w:t>Balances with foreign bank</w:t>
            </w:r>
            <w:r>
              <w:rPr>
                <w:rFonts w:ascii="Times New Roman" w:eastAsia="Times New Roman" w:hAnsi="Times New Roman" w:cs="Times New Roman"/>
                <w:sz w:val="20"/>
                <w:szCs w:val="20"/>
                <w:lang w:val="en-US"/>
              </w:rPr>
              <w:t xml:space="preserve"> </w:t>
            </w:r>
            <w:r w:rsidRPr="00B47F53">
              <w:rPr>
                <w:rFonts w:ascii="Times New Roman" w:eastAsia="Times New Roman" w:hAnsi="Times New Roman" w:cs="Times New Roman"/>
                <w:sz w:val="20"/>
                <w:szCs w:val="20"/>
                <w:lang w:val="en-US"/>
              </w:rPr>
              <w:t>(credit rating A</w:t>
            </w:r>
            <w:r>
              <w:rPr>
                <w:rFonts w:ascii="Times New Roman" w:eastAsia="Times New Roman" w:hAnsi="Times New Roman" w:cs="Times New Roman"/>
                <w:sz w:val="20"/>
                <w:szCs w:val="20"/>
                <w:lang w:val="en-US"/>
              </w:rPr>
              <w:t>+</w:t>
            </w:r>
            <w:r w:rsidRPr="00B47F53">
              <w:rPr>
                <w:rFonts w:ascii="Times New Roman" w:eastAsia="Times New Roman" w:hAnsi="Times New Roman" w:cs="Times New Roman"/>
                <w:sz w:val="20"/>
                <w:szCs w:val="20"/>
                <w:lang w:val="en-US"/>
              </w:rPr>
              <w:t xml:space="preserve"> to A-)</w:t>
            </w:r>
          </w:p>
        </w:tc>
        <w:tc>
          <w:tcPr>
            <w:tcW w:w="1371" w:type="dxa"/>
          </w:tcPr>
          <w:p w14:paraId="22DDC5D2" w14:textId="45388CCC" w:rsidR="00E879FA" w:rsidRPr="00E879FA" w:rsidRDefault="00F4207B" w:rsidP="00E879FA">
            <w:pPr>
              <w:jc w:val="right"/>
              <w:rPr>
                <w:rFonts w:ascii="Times New Roman" w:eastAsia="Times New Roman" w:hAnsi="Times New Roman" w:cs="Times New Roman"/>
                <w:sz w:val="20"/>
                <w:szCs w:val="20"/>
                <w:lang w:val="en-US"/>
              </w:rPr>
            </w:pPr>
            <w:r w:rsidRPr="00F4207B">
              <w:rPr>
                <w:rFonts w:ascii="Times New Roman" w:hAnsi="Times New Roman" w:cs="Times New Roman"/>
                <w:sz w:val="20"/>
                <w:szCs w:val="20"/>
              </w:rPr>
              <w:t>121,768</w:t>
            </w:r>
          </w:p>
        </w:tc>
        <w:tc>
          <w:tcPr>
            <w:tcW w:w="1594" w:type="dxa"/>
            <w:noWrap/>
          </w:tcPr>
          <w:p w14:paraId="30FACC34" w14:textId="3BF3B1A7" w:rsidR="00E879FA" w:rsidRPr="00E879FA" w:rsidRDefault="00E879FA" w:rsidP="00E879FA">
            <w:pPr>
              <w:jc w:val="center"/>
              <w:rPr>
                <w:rFonts w:ascii="Times New Roman" w:eastAsia="Times New Roman" w:hAnsi="Times New Roman" w:cs="Times New Roman"/>
                <w:sz w:val="20"/>
                <w:szCs w:val="20"/>
                <w:lang w:val="en-US"/>
              </w:rPr>
            </w:pPr>
            <w:r w:rsidRPr="00E879FA">
              <w:rPr>
                <w:rFonts w:ascii="Times New Roman" w:hAnsi="Times New Roman" w:cs="Times New Roman"/>
                <w:sz w:val="20"/>
                <w:szCs w:val="20"/>
              </w:rPr>
              <w:t>50%</w:t>
            </w:r>
          </w:p>
        </w:tc>
        <w:tc>
          <w:tcPr>
            <w:tcW w:w="1196" w:type="dxa"/>
            <w:noWrap/>
          </w:tcPr>
          <w:p w14:paraId="2078A23C" w14:textId="7E4AA06E" w:rsidR="00E879FA" w:rsidRPr="00E879FA" w:rsidRDefault="00AC03CC" w:rsidP="00E879FA">
            <w:pPr>
              <w:jc w:val="right"/>
              <w:rPr>
                <w:rFonts w:ascii="Times New Roman" w:eastAsia="Times New Roman" w:hAnsi="Times New Roman" w:cs="Times New Roman"/>
                <w:sz w:val="20"/>
                <w:szCs w:val="20"/>
                <w:lang w:val="en-US"/>
              </w:rPr>
            </w:pPr>
            <w:r w:rsidRPr="00AC03CC">
              <w:rPr>
                <w:rFonts w:ascii="Times New Roman" w:hAnsi="Times New Roman" w:cs="Times New Roman"/>
                <w:sz w:val="20"/>
                <w:szCs w:val="20"/>
              </w:rPr>
              <w:t>60,884</w:t>
            </w:r>
          </w:p>
        </w:tc>
      </w:tr>
      <w:tr w:rsidR="00E879FA" w:rsidRPr="00B47F53" w14:paraId="75D6C1CD" w14:textId="77777777" w:rsidTr="00ED66C0">
        <w:trPr>
          <w:trHeight w:val="300"/>
        </w:trPr>
        <w:tc>
          <w:tcPr>
            <w:tcW w:w="4855" w:type="dxa"/>
            <w:hideMark/>
          </w:tcPr>
          <w:p w14:paraId="4C6955D5" w14:textId="77777777" w:rsidR="00E879FA" w:rsidRPr="00B47F53" w:rsidRDefault="00E879FA" w:rsidP="00E879FA">
            <w:pPr>
              <w:jc w:val="both"/>
              <w:rPr>
                <w:rFonts w:ascii="Times New Roman" w:eastAsia="Times New Roman" w:hAnsi="Times New Roman" w:cs="Times New Roman"/>
                <w:sz w:val="20"/>
                <w:szCs w:val="20"/>
                <w:lang w:val="en-US"/>
              </w:rPr>
            </w:pPr>
            <w:r w:rsidRPr="00B47F53">
              <w:rPr>
                <w:rFonts w:ascii="Times New Roman" w:eastAsia="Times New Roman" w:hAnsi="Times New Roman" w:cs="Times New Roman"/>
                <w:sz w:val="20"/>
                <w:szCs w:val="20"/>
                <w:lang w:val="en-US"/>
              </w:rPr>
              <w:t>Balances with foreign bank (credit rating BBB+ to BB-)</w:t>
            </w:r>
          </w:p>
        </w:tc>
        <w:tc>
          <w:tcPr>
            <w:tcW w:w="1371" w:type="dxa"/>
            <w:hideMark/>
          </w:tcPr>
          <w:p w14:paraId="000E97FC" w14:textId="183A00A9" w:rsidR="00E879FA" w:rsidRPr="00E879FA" w:rsidRDefault="00F4207B" w:rsidP="00E879FA">
            <w:pPr>
              <w:jc w:val="right"/>
              <w:rPr>
                <w:rFonts w:ascii="Times New Roman" w:eastAsia="Times New Roman" w:hAnsi="Times New Roman" w:cs="Times New Roman"/>
                <w:sz w:val="20"/>
                <w:szCs w:val="20"/>
                <w:lang w:val="en-US"/>
              </w:rPr>
            </w:pPr>
            <w:r w:rsidRPr="00F4207B">
              <w:rPr>
                <w:rFonts w:ascii="Times New Roman" w:hAnsi="Times New Roman" w:cs="Times New Roman"/>
                <w:sz w:val="20"/>
                <w:szCs w:val="20"/>
              </w:rPr>
              <w:t>177,346</w:t>
            </w:r>
          </w:p>
        </w:tc>
        <w:tc>
          <w:tcPr>
            <w:tcW w:w="1594" w:type="dxa"/>
            <w:noWrap/>
            <w:hideMark/>
          </w:tcPr>
          <w:p w14:paraId="4AE95C96" w14:textId="3A70EC4C" w:rsidR="00E879FA" w:rsidRPr="00E879FA" w:rsidRDefault="00E879FA" w:rsidP="00E879FA">
            <w:pPr>
              <w:jc w:val="center"/>
              <w:rPr>
                <w:rFonts w:ascii="Times New Roman" w:eastAsia="Times New Roman" w:hAnsi="Times New Roman" w:cs="Times New Roman"/>
                <w:sz w:val="20"/>
                <w:szCs w:val="20"/>
                <w:lang w:val="en-US"/>
              </w:rPr>
            </w:pPr>
            <w:r w:rsidRPr="00E879FA">
              <w:rPr>
                <w:rFonts w:ascii="Times New Roman" w:hAnsi="Times New Roman" w:cs="Times New Roman"/>
                <w:sz w:val="20"/>
                <w:szCs w:val="20"/>
              </w:rPr>
              <w:t>100%</w:t>
            </w:r>
          </w:p>
        </w:tc>
        <w:tc>
          <w:tcPr>
            <w:tcW w:w="1196" w:type="dxa"/>
            <w:noWrap/>
            <w:hideMark/>
          </w:tcPr>
          <w:p w14:paraId="7591CF9D" w14:textId="7A518BF1" w:rsidR="00E879FA" w:rsidRPr="00E879FA" w:rsidRDefault="00AC03CC" w:rsidP="00E879FA">
            <w:pPr>
              <w:jc w:val="right"/>
              <w:rPr>
                <w:rFonts w:ascii="Times New Roman" w:eastAsia="Times New Roman" w:hAnsi="Times New Roman" w:cs="Times New Roman"/>
                <w:sz w:val="20"/>
                <w:szCs w:val="20"/>
                <w:lang w:val="en-US"/>
              </w:rPr>
            </w:pPr>
            <w:r w:rsidRPr="00AC03CC">
              <w:rPr>
                <w:rFonts w:ascii="Times New Roman" w:hAnsi="Times New Roman" w:cs="Times New Roman"/>
                <w:sz w:val="20"/>
                <w:szCs w:val="20"/>
              </w:rPr>
              <w:t>177,346</w:t>
            </w:r>
          </w:p>
        </w:tc>
      </w:tr>
      <w:tr w:rsidR="00E879FA" w:rsidRPr="00B47F53" w14:paraId="4C05E13B" w14:textId="77777777" w:rsidTr="00ED66C0">
        <w:trPr>
          <w:trHeight w:val="300"/>
        </w:trPr>
        <w:tc>
          <w:tcPr>
            <w:tcW w:w="4855" w:type="dxa"/>
            <w:hideMark/>
          </w:tcPr>
          <w:p w14:paraId="4AD5DAC5" w14:textId="77777777" w:rsidR="00E879FA" w:rsidRPr="00B47F53" w:rsidRDefault="00E879FA" w:rsidP="00E879FA">
            <w:pPr>
              <w:jc w:val="both"/>
              <w:rPr>
                <w:rFonts w:ascii="Times New Roman" w:eastAsia="Times New Roman" w:hAnsi="Times New Roman" w:cs="Times New Roman"/>
                <w:sz w:val="20"/>
                <w:szCs w:val="20"/>
                <w:lang w:val="en-US"/>
              </w:rPr>
            </w:pPr>
            <w:r w:rsidRPr="00B47F53">
              <w:rPr>
                <w:rFonts w:ascii="Times New Roman" w:eastAsia="Times New Roman" w:hAnsi="Times New Roman" w:cs="Times New Roman"/>
                <w:sz w:val="20"/>
                <w:szCs w:val="20"/>
                <w:lang w:val="en-US"/>
              </w:rPr>
              <w:t>Balances with foreign bank (credit rating BB+ to B-)</w:t>
            </w:r>
          </w:p>
        </w:tc>
        <w:tc>
          <w:tcPr>
            <w:tcW w:w="1371" w:type="dxa"/>
            <w:hideMark/>
          </w:tcPr>
          <w:p w14:paraId="093696CE" w14:textId="1122B53B" w:rsidR="00E879FA" w:rsidRPr="00E879FA" w:rsidRDefault="00F4207B" w:rsidP="00E879FA">
            <w:pPr>
              <w:jc w:val="right"/>
              <w:rPr>
                <w:rFonts w:ascii="Times New Roman" w:eastAsia="Times New Roman" w:hAnsi="Times New Roman" w:cs="Times New Roman"/>
                <w:sz w:val="20"/>
                <w:szCs w:val="20"/>
                <w:lang w:val="en-US"/>
              </w:rPr>
            </w:pPr>
            <w:r w:rsidRPr="00F4207B">
              <w:rPr>
                <w:rFonts w:ascii="Times New Roman" w:hAnsi="Times New Roman" w:cs="Times New Roman"/>
                <w:sz w:val="20"/>
                <w:szCs w:val="20"/>
              </w:rPr>
              <w:t>-37,382</w:t>
            </w:r>
          </w:p>
        </w:tc>
        <w:tc>
          <w:tcPr>
            <w:tcW w:w="1594" w:type="dxa"/>
            <w:noWrap/>
            <w:hideMark/>
          </w:tcPr>
          <w:p w14:paraId="0E440B25" w14:textId="5D97479D" w:rsidR="00E879FA" w:rsidRPr="00E879FA" w:rsidRDefault="00E879FA" w:rsidP="00E879FA">
            <w:pPr>
              <w:jc w:val="center"/>
              <w:rPr>
                <w:rFonts w:ascii="Times New Roman" w:eastAsia="Times New Roman" w:hAnsi="Times New Roman" w:cs="Times New Roman"/>
                <w:sz w:val="20"/>
                <w:szCs w:val="20"/>
                <w:lang w:val="en-US"/>
              </w:rPr>
            </w:pPr>
            <w:r w:rsidRPr="00E879FA">
              <w:rPr>
                <w:rFonts w:ascii="Times New Roman" w:hAnsi="Times New Roman" w:cs="Times New Roman"/>
                <w:sz w:val="20"/>
                <w:szCs w:val="20"/>
              </w:rPr>
              <w:t>100%</w:t>
            </w:r>
          </w:p>
        </w:tc>
        <w:tc>
          <w:tcPr>
            <w:tcW w:w="1196" w:type="dxa"/>
            <w:noWrap/>
            <w:hideMark/>
          </w:tcPr>
          <w:p w14:paraId="636C47A8" w14:textId="1E37B8A3" w:rsidR="00E879FA" w:rsidRPr="00E879FA" w:rsidRDefault="00AC03CC" w:rsidP="00E879FA">
            <w:pPr>
              <w:jc w:val="right"/>
              <w:rPr>
                <w:rFonts w:ascii="Times New Roman" w:eastAsia="Times New Roman" w:hAnsi="Times New Roman" w:cs="Times New Roman"/>
                <w:sz w:val="20"/>
                <w:szCs w:val="20"/>
                <w:lang w:val="en-US"/>
              </w:rPr>
            </w:pPr>
            <w:r w:rsidRPr="00AC03CC">
              <w:rPr>
                <w:rFonts w:ascii="Times New Roman" w:hAnsi="Times New Roman" w:cs="Times New Roman"/>
                <w:sz w:val="20"/>
                <w:szCs w:val="20"/>
              </w:rPr>
              <w:t>-37,382</w:t>
            </w:r>
          </w:p>
        </w:tc>
      </w:tr>
      <w:tr w:rsidR="00E879FA" w:rsidRPr="00B47F53" w14:paraId="43549846" w14:textId="77777777" w:rsidTr="00ED66C0">
        <w:trPr>
          <w:trHeight w:val="300"/>
        </w:trPr>
        <w:tc>
          <w:tcPr>
            <w:tcW w:w="4855" w:type="dxa"/>
            <w:hideMark/>
          </w:tcPr>
          <w:p w14:paraId="189E6F2D" w14:textId="77777777" w:rsidR="00E879FA" w:rsidRPr="00B47F53" w:rsidRDefault="00E879FA" w:rsidP="00E879FA">
            <w:pPr>
              <w:jc w:val="both"/>
              <w:rPr>
                <w:rFonts w:ascii="Times New Roman" w:eastAsia="Times New Roman" w:hAnsi="Times New Roman" w:cs="Times New Roman"/>
                <w:sz w:val="20"/>
                <w:szCs w:val="20"/>
                <w:lang w:val="en-US"/>
              </w:rPr>
            </w:pPr>
            <w:r w:rsidRPr="00B47F53">
              <w:rPr>
                <w:rFonts w:ascii="Times New Roman" w:eastAsia="Times New Roman" w:hAnsi="Times New Roman" w:cs="Times New Roman"/>
                <w:sz w:val="20"/>
                <w:szCs w:val="20"/>
                <w:lang w:val="en-US"/>
              </w:rPr>
              <w:t>Balances with foreign bank (credit rating below B-)</w:t>
            </w:r>
          </w:p>
        </w:tc>
        <w:tc>
          <w:tcPr>
            <w:tcW w:w="1371" w:type="dxa"/>
            <w:hideMark/>
          </w:tcPr>
          <w:p w14:paraId="111BC38E" w14:textId="68BFD1D3" w:rsidR="00E879FA" w:rsidRPr="00E879FA" w:rsidRDefault="00F4207B" w:rsidP="00E879FA">
            <w:pPr>
              <w:jc w:val="right"/>
              <w:rPr>
                <w:rFonts w:ascii="Times New Roman" w:eastAsia="Times New Roman" w:hAnsi="Times New Roman" w:cs="Times New Roman"/>
                <w:sz w:val="20"/>
                <w:szCs w:val="20"/>
                <w:lang w:val="en-US"/>
              </w:rPr>
            </w:pPr>
            <w:r w:rsidRPr="00F4207B">
              <w:rPr>
                <w:rFonts w:ascii="Times New Roman" w:hAnsi="Times New Roman" w:cs="Times New Roman"/>
                <w:sz w:val="20"/>
                <w:szCs w:val="20"/>
              </w:rPr>
              <w:t>376,935</w:t>
            </w:r>
          </w:p>
        </w:tc>
        <w:tc>
          <w:tcPr>
            <w:tcW w:w="1594" w:type="dxa"/>
            <w:noWrap/>
            <w:hideMark/>
          </w:tcPr>
          <w:p w14:paraId="7129C685" w14:textId="5FB5486F" w:rsidR="00E879FA" w:rsidRPr="00E879FA" w:rsidRDefault="00E879FA" w:rsidP="00E879FA">
            <w:pPr>
              <w:jc w:val="center"/>
              <w:rPr>
                <w:rFonts w:ascii="Times New Roman" w:eastAsia="Times New Roman" w:hAnsi="Times New Roman" w:cs="Times New Roman"/>
                <w:sz w:val="20"/>
                <w:szCs w:val="20"/>
                <w:lang w:val="en-US"/>
              </w:rPr>
            </w:pPr>
            <w:r w:rsidRPr="00E879FA">
              <w:rPr>
                <w:rFonts w:ascii="Times New Roman" w:hAnsi="Times New Roman" w:cs="Times New Roman"/>
                <w:sz w:val="20"/>
                <w:szCs w:val="20"/>
              </w:rPr>
              <w:t>150%</w:t>
            </w:r>
          </w:p>
        </w:tc>
        <w:tc>
          <w:tcPr>
            <w:tcW w:w="1196" w:type="dxa"/>
            <w:noWrap/>
            <w:hideMark/>
          </w:tcPr>
          <w:p w14:paraId="6AB1D566" w14:textId="73740437" w:rsidR="00E879FA" w:rsidRPr="00E879FA" w:rsidRDefault="00AC03CC" w:rsidP="00E879FA">
            <w:pPr>
              <w:jc w:val="right"/>
              <w:rPr>
                <w:rFonts w:ascii="Times New Roman" w:eastAsia="Times New Roman" w:hAnsi="Times New Roman" w:cs="Times New Roman"/>
                <w:sz w:val="20"/>
                <w:szCs w:val="20"/>
                <w:lang w:val="en-US"/>
              </w:rPr>
            </w:pPr>
            <w:r w:rsidRPr="00AC03CC">
              <w:rPr>
                <w:rFonts w:ascii="Times New Roman" w:hAnsi="Times New Roman" w:cs="Times New Roman"/>
                <w:sz w:val="20"/>
                <w:szCs w:val="20"/>
              </w:rPr>
              <w:t>565,403</w:t>
            </w:r>
          </w:p>
        </w:tc>
      </w:tr>
      <w:tr w:rsidR="00E879FA" w:rsidRPr="00B47F53" w14:paraId="7AC3528F" w14:textId="77777777" w:rsidTr="00ED66C0">
        <w:trPr>
          <w:trHeight w:val="345"/>
        </w:trPr>
        <w:tc>
          <w:tcPr>
            <w:tcW w:w="4855" w:type="dxa"/>
            <w:hideMark/>
          </w:tcPr>
          <w:p w14:paraId="1F6296B0" w14:textId="77777777" w:rsidR="00E879FA" w:rsidRPr="00B47F53" w:rsidRDefault="00E879FA" w:rsidP="00E879FA">
            <w:pPr>
              <w:rPr>
                <w:rFonts w:ascii="Times New Roman" w:eastAsia="Times New Roman" w:hAnsi="Times New Roman" w:cs="Times New Roman"/>
                <w:sz w:val="20"/>
                <w:szCs w:val="20"/>
                <w:lang w:val="en-US"/>
              </w:rPr>
            </w:pPr>
            <w:r w:rsidRPr="00B47F53">
              <w:rPr>
                <w:rFonts w:ascii="Times New Roman" w:eastAsia="Times New Roman" w:hAnsi="Times New Roman" w:cs="Times New Roman"/>
                <w:sz w:val="20"/>
                <w:szCs w:val="20"/>
                <w:lang w:val="en-US"/>
              </w:rPr>
              <w:t>Commercial loans (credit rating BBB+ to BB-)</w:t>
            </w:r>
          </w:p>
        </w:tc>
        <w:tc>
          <w:tcPr>
            <w:tcW w:w="1371" w:type="dxa"/>
            <w:hideMark/>
          </w:tcPr>
          <w:p w14:paraId="243BAEF0" w14:textId="0B00057D" w:rsidR="00E879FA" w:rsidRPr="00E879FA" w:rsidRDefault="00F4207B" w:rsidP="00E879FA">
            <w:pPr>
              <w:jc w:val="right"/>
              <w:rPr>
                <w:rFonts w:ascii="Times New Roman" w:eastAsia="Times New Roman" w:hAnsi="Times New Roman" w:cs="Times New Roman"/>
                <w:sz w:val="20"/>
                <w:szCs w:val="20"/>
                <w:lang w:val="en-US"/>
              </w:rPr>
            </w:pPr>
            <w:r w:rsidRPr="00F4207B">
              <w:rPr>
                <w:rFonts w:ascii="Times New Roman" w:hAnsi="Times New Roman" w:cs="Times New Roman"/>
                <w:sz w:val="20"/>
                <w:szCs w:val="20"/>
              </w:rPr>
              <w:t>526,064</w:t>
            </w:r>
          </w:p>
        </w:tc>
        <w:tc>
          <w:tcPr>
            <w:tcW w:w="1594" w:type="dxa"/>
            <w:noWrap/>
            <w:hideMark/>
          </w:tcPr>
          <w:p w14:paraId="20B2EE3A" w14:textId="5EC380F7" w:rsidR="00E879FA" w:rsidRPr="00E879FA" w:rsidRDefault="00E879FA" w:rsidP="00E879FA">
            <w:pPr>
              <w:jc w:val="center"/>
              <w:rPr>
                <w:rFonts w:ascii="Times New Roman" w:eastAsia="Times New Roman" w:hAnsi="Times New Roman" w:cs="Times New Roman"/>
                <w:sz w:val="20"/>
                <w:szCs w:val="20"/>
                <w:lang w:val="en-US"/>
              </w:rPr>
            </w:pPr>
            <w:r w:rsidRPr="00E879FA">
              <w:rPr>
                <w:rFonts w:ascii="Times New Roman" w:hAnsi="Times New Roman" w:cs="Times New Roman"/>
                <w:sz w:val="20"/>
                <w:szCs w:val="20"/>
              </w:rPr>
              <w:t>100%</w:t>
            </w:r>
          </w:p>
        </w:tc>
        <w:tc>
          <w:tcPr>
            <w:tcW w:w="1196" w:type="dxa"/>
            <w:noWrap/>
            <w:hideMark/>
          </w:tcPr>
          <w:p w14:paraId="0B69F406" w14:textId="6FAB0459" w:rsidR="00E879FA" w:rsidRPr="00E879FA" w:rsidRDefault="00AC03CC" w:rsidP="00E879FA">
            <w:pPr>
              <w:jc w:val="right"/>
              <w:rPr>
                <w:rFonts w:ascii="Times New Roman" w:eastAsia="Times New Roman" w:hAnsi="Times New Roman" w:cs="Times New Roman"/>
                <w:sz w:val="20"/>
                <w:szCs w:val="20"/>
                <w:lang w:val="en-US"/>
              </w:rPr>
            </w:pPr>
            <w:r w:rsidRPr="00AC03CC">
              <w:rPr>
                <w:rFonts w:ascii="Times New Roman" w:hAnsi="Times New Roman" w:cs="Times New Roman"/>
                <w:sz w:val="20"/>
                <w:szCs w:val="20"/>
              </w:rPr>
              <w:t>526,064</w:t>
            </w:r>
          </w:p>
        </w:tc>
      </w:tr>
      <w:tr w:rsidR="00E879FA" w:rsidRPr="00B47F53" w14:paraId="6052A4A2" w14:textId="77777777" w:rsidTr="00455CA7">
        <w:trPr>
          <w:trHeight w:val="600"/>
        </w:trPr>
        <w:tc>
          <w:tcPr>
            <w:tcW w:w="4855" w:type="dxa"/>
            <w:hideMark/>
          </w:tcPr>
          <w:p w14:paraId="3243239F" w14:textId="77777777" w:rsidR="00E879FA" w:rsidRPr="00B47F53" w:rsidRDefault="00E879FA" w:rsidP="00E879FA">
            <w:pPr>
              <w:rPr>
                <w:rFonts w:ascii="Times New Roman" w:eastAsia="Times New Roman" w:hAnsi="Times New Roman" w:cs="Times New Roman"/>
                <w:sz w:val="20"/>
                <w:szCs w:val="20"/>
                <w:lang w:val="en-US"/>
              </w:rPr>
            </w:pPr>
            <w:r w:rsidRPr="00B47F53">
              <w:rPr>
                <w:rFonts w:ascii="Times New Roman" w:eastAsia="Times New Roman" w:hAnsi="Times New Roman" w:cs="Times New Roman"/>
                <w:sz w:val="20"/>
                <w:szCs w:val="20"/>
                <w:lang w:val="en-US"/>
              </w:rPr>
              <w:t>Past due for more than 90 and specific provision is less than 20% of loan</w:t>
            </w:r>
          </w:p>
        </w:tc>
        <w:tc>
          <w:tcPr>
            <w:tcW w:w="1371" w:type="dxa"/>
            <w:vAlign w:val="bottom"/>
            <w:hideMark/>
          </w:tcPr>
          <w:p w14:paraId="54BA6559" w14:textId="10E758F3" w:rsidR="00E879FA" w:rsidRPr="00E879FA" w:rsidRDefault="00F4207B" w:rsidP="00455CA7">
            <w:pPr>
              <w:jc w:val="right"/>
              <w:rPr>
                <w:rFonts w:ascii="Times New Roman" w:eastAsia="Times New Roman" w:hAnsi="Times New Roman" w:cs="Times New Roman"/>
                <w:sz w:val="20"/>
                <w:szCs w:val="20"/>
                <w:lang w:val="en-US"/>
              </w:rPr>
            </w:pPr>
            <w:r w:rsidRPr="00F4207B">
              <w:rPr>
                <w:rFonts w:ascii="Times New Roman" w:hAnsi="Times New Roman" w:cs="Times New Roman"/>
                <w:sz w:val="20"/>
                <w:szCs w:val="20"/>
              </w:rPr>
              <w:t>34,301</w:t>
            </w:r>
          </w:p>
        </w:tc>
        <w:tc>
          <w:tcPr>
            <w:tcW w:w="1594" w:type="dxa"/>
            <w:noWrap/>
            <w:vAlign w:val="bottom"/>
            <w:hideMark/>
          </w:tcPr>
          <w:p w14:paraId="0DCEF854" w14:textId="43072F68" w:rsidR="00E879FA" w:rsidRPr="00E879FA" w:rsidRDefault="00E879FA" w:rsidP="00455CA7">
            <w:pPr>
              <w:jc w:val="center"/>
              <w:rPr>
                <w:rFonts w:ascii="Times New Roman" w:eastAsia="Times New Roman" w:hAnsi="Times New Roman" w:cs="Times New Roman"/>
                <w:sz w:val="20"/>
                <w:szCs w:val="20"/>
                <w:lang w:val="en-US"/>
              </w:rPr>
            </w:pPr>
            <w:r w:rsidRPr="00E879FA">
              <w:rPr>
                <w:rFonts w:ascii="Times New Roman" w:hAnsi="Times New Roman" w:cs="Times New Roman"/>
                <w:sz w:val="20"/>
                <w:szCs w:val="20"/>
              </w:rPr>
              <w:t>150%</w:t>
            </w:r>
          </w:p>
        </w:tc>
        <w:tc>
          <w:tcPr>
            <w:tcW w:w="1196" w:type="dxa"/>
            <w:noWrap/>
            <w:vAlign w:val="bottom"/>
            <w:hideMark/>
          </w:tcPr>
          <w:p w14:paraId="58195EB2" w14:textId="73D1EC24" w:rsidR="00E879FA" w:rsidRPr="00E879FA" w:rsidRDefault="00AC03CC" w:rsidP="00455CA7">
            <w:pPr>
              <w:jc w:val="right"/>
              <w:rPr>
                <w:rFonts w:ascii="Times New Roman" w:eastAsia="Times New Roman" w:hAnsi="Times New Roman" w:cs="Times New Roman"/>
                <w:sz w:val="20"/>
                <w:szCs w:val="20"/>
                <w:lang w:val="en-US"/>
              </w:rPr>
            </w:pPr>
            <w:r w:rsidRPr="00AC03CC">
              <w:rPr>
                <w:rFonts w:ascii="Times New Roman" w:hAnsi="Times New Roman" w:cs="Times New Roman"/>
                <w:sz w:val="20"/>
                <w:szCs w:val="20"/>
              </w:rPr>
              <w:t>51,452</w:t>
            </w:r>
          </w:p>
        </w:tc>
      </w:tr>
      <w:tr w:rsidR="00E879FA" w:rsidRPr="00B47F53" w14:paraId="0F53D321" w14:textId="77777777" w:rsidTr="00455CA7">
        <w:trPr>
          <w:trHeight w:val="600"/>
        </w:trPr>
        <w:tc>
          <w:tcPr>
            <w:tcW w:w="4855" w:type="dxa"/>
            <w:hideMark/>
          </w:tcPr>
          <w:p w14:paraId="5D82D01D" w14:textId="77777777" w:rsidR="00E879FA" w:rsidRPr="00B47F53" w:rsidRDefault="00E879FA" w:rsidP="00E879FA">
            <w:pPr>
              <w:rPr>
                <w:rFonts w:ascii="Times New Roman" w:eastAsia="Times New Roman" w:hAnsi="Times New Roman" w:cs="Times New Roman"/>
                <w:sz w:val="20"/>
                <w:szCs w:val="20"/>
                <w:lang w:val="en-US"/>
              </w:rPr>
            </w:pPr>
            <w:r w:rsidRPr="00B47F53">
              <w:rPr>
                <w:rFonts w:ascii="Times New Roman" w:eastAsia="Times New Roman" w:hAnsi="Times New Roman" w:cs="Times New Roman"/>
                <w:sz w:val="20"/>
                <w:szCs w:val="20"/>
                <w:lang w:val="en-US"/>
              </w:rPr>
              <w:t>Past due exposure where specific provision is equal to or greater than 20% but less than 50% of the loan.</w:t>
            </w:r>
          </w:p>
        </w:tc>
        <w:tc>
          <w:tcPr>
            <w:tcW w:w="1371" w:type="dxa"/>
            <w:vAlign w:val="bottom"/>
            <w:hideMark/>
          </w:tcPr>
          <w:p w14:paraId="7E76CCA3" w14:textId="75E9A07B" w:rsidR="00E879FA" w:rsidRPr="00E879FA" w:rsidRDefault="00F4207B" w:rsidP="00455CA7">
            <w:pPr>
              <w:jc w:val="right"/>
              <w:rPr>
                <w:rFonts w:ascii="Times New Roman" w:eastAsia="Times New Roman" w:hAnsi="Times New Roman" w:cs="Times New Roman"/>
                <w:sz w:val="20"/>
                <w:szCs w:val="20"/>
                <w:lang w:val="en-US"/>
              </w:rPr>
            </w:pPr>
            <w:r w:rsidRPr="00F4207B">
              <w:rPr>
                <w:rFonts w:ascii="Times New Roman" w:hAnsi="Times New Roman" w:cs="Times New Roman"/>
                <w:sz w:val="20"/>
                <w:szCs w:val="20"/>
              </w:rPr>
              <w:t>5,023</w:t>
            </w:r>
          </w:p>
        </w:tc>
        <w:tc>
          <w:tcPr>
            <w:tcW w:w="1594" w:type="dxa"/>
            <w:noWrap/>
            <w:vAlign w:val="bottom"/>
            <w:hideMark/>
          </w:tcPr>
          <w:p w14:paraId="2E957CD5" w14:textId="6DEE3E09" w:rsidR="00E879FA" w:rsidRPr="00E879FA" w:rsidRDefault="00E879FA" w:rsidP="00455CA7">
            <w:pPr>
              <w:jc w:val="center"/>
              <w:rPr>
                <w:rFonts w:ascii="Times New Roman" w:eastAsia="Times New Roman" w:hAnsi="Times New Roman" w:cs="Times New Roman"/>
                <w:sz w:val="20"/>
                <w:szCs w:val="20"/>
                <w:lang w:val="en-US"/>
              </w:rPr>
            </w:pPr>
            <w:r w:rsidRPr="00E879FA">
              <w:rPr>
                <w:rFonts w:ascii="Times New Roman" w:hAnsi="Times New Roman" w:cs="Times New Roman"/>
                <w:sz w:val="20"/>
                <w:szCs w:val="20"/>
              </w:rPr>
              <w:t>100%</w:t>
            </w:r>
          </w:p>
        </w:tc>
        <w:tc>
          <w:tcPr>
            <w:tcW w:w="1196" w:type="dxa"/>
            <w:noWrap/>
            <w:vAlign w:val="bottom"/>
            <w:hideMark/>
          </w:tcPr>
          <w:p w14:paraId="37E2B558" w14:textId="6882F28C" w:rsidR="00E879FA" w:rsidRPr="00E879FA" w:rsidRDefault="00AC03CC" w:rsidP="00455CA7">
            <w:pPr>
              <w:jc w:val="right"/>
              <w:rPr>
                <w:rFonts w:ascii="Times New Roman" w:eastAsia="Times New Roman" w:hAnsi="Times New Roman" w:cs="Times New Roman"/>
                <w:sz w:val="20"/>
                <w:szCs w:val="20"/>
                <w:lang w:val="en-US"/>
              </w:rPr>
            </w:pPr>
            <w:r w:rsidRPr="00AC03CC">
              <w:rPr>
                <w:rFonts w:ascii="Times New Roman" w:hAnsi="Times New Roman" w:cs="Times New Roman"/>
                <w:sz w:val="20"/>
                <w:szCs w:val="20"/>
              </w:rPr>
              <w:t>5,023</w:t>
            </w:r>
          </w:p>
        </w:tc>
      </w:tr>
      <w:tr w:rsidR="00E879FA" w:rsidRPr="00B47F53" w14:paraId="62E7BD41" w14:textId="77777777" w:rsidTr="00455CA7">
        <w:trPr>
          <w:trHeight w:val="600"/>
        </w:trPr>
        <w:tc>
          <w:tcPr>
            <w:tcW w:w="4855" w:type="dxa"/>
            <w:hideMark/>
          </w:tcPr>
          <w:p w14:paraId="1DD74A85" w14:textId="77777777" w:rsidR="00E879FA" w:rsidRPr="00B47F53" w:rsidRDefault="00E879FA" w:rsidP="00E879FA">
            <w:pPr>
              <w:rPr>
                <w:rFonts w:ascii="Times New Roman" w:eastAsia="Times New Roman" w:hAnsi="Times New Roman" w:cs="Times New Roman"/>
                <w:sz w:val="20"/>
                <w:szCs w:val="20"/>
                <w:lang w:val="en-US"/>
              </w:rPr>
            </w:pPr>
            <w:r w:rsidRPr="00B47F53">
              <w:rPr>
                <w:rFonts w:ascii="Times New Roman" w:eastAsia="Times New Roman" w:hAnsi="Times New Roman" w:cs="Times New Roman"/>
                <w:sz w:val="20"/>
                <w:szCs w:val="20"/>
                <w:lang w:val="en-US"/>
              </w:rPr>
              <w:t>Past due exposure where specific provision is equal to 50% or more of the loan.</w:t>
            </w:r>
          </w:p>
        </w:tc>
        <w:tc>
          <w:tcPr>
            <w:tcW w:w="1371" w:type="dxa"/>
            <w:vAlign w:val="bottom"/>
            <w:hideMark/>
          </w:tcPr>
          <w:p w14:paraId="67528643" w14:textId="765E8EB9" w:rsidR="00E879FA" w:rsidRPr="00E879FA" w:rsidRDefault="00F4207B" w:rsidP="00455CA7">
            <w:pPr>
              <w:jc w:val="right"/>
              <w:rPr>
                <w:rFonts w:ascii="Times New Roman" w:eastAsia="Times New Roman" w:hAnsi="Times New Roman" w:cs="Times New Roman"/>
                <w:sz w:val="20"/>
                <w:szCs w:val="20"/>
                <w:lang w:val="en-US"/>
              </w:rPr>
            </w:pPr>
            <w:r w:rsidRPr="00F4207B">
              <w:rPr>
                <w:rFonts w:ascii="Times New Roman" w:hAnsi="Times New Roman" w:cs="Times New Roman"/>
                <w:sz w:val="20"/>
                <w:szCs w:val="20"/>
              </w:rPr>
              <w:t>397</w:t>
            </w:r>
          </w:p>
        </w:tc>
        <w:tc>
          <w:tcPr>
            <w:tcW w:w="1594" w:type="dxa"/>
            <w:noWrap/>
            <w:vAlign w:val="bottom"/>
            <w:hideMark/>
          </w:tcPr>
          <w:p w14:paraId="63F5B026" w14:textId="35821171" w:rsidR="00E879FA" w:rsidRPr="00E879FA" w:rsidRDefault="00E879FA" w:rsidP="00455CA7">
            <w:pPr>
              <w:jc w:val="center"/>
              <w:rPr>
                <w:rFonts w:ascii="Times New Roman" w:eastAsia="Times New Roman" w:hAnsi="Times New Roman" w:cs="Times New Roman"/>
                <w:sz w:val="20"/>
                <w:szCs w:val="20"/>
                <w:lang w:val="en-US"/>
              </w:rPr>
            </w:pPr>
            <w:r w:rsidRPr="00E879FA">
              <w:rPr>
                <w:rFonts w:ascii="Times New Roman" w:hAnsi="Times New Roman" w:cs="Times New Roman"/>
                <w:sz w:val="20"/>
                <w:szCs w:val="20"/>
              </w:rPr>
              <w:t>50%</w:t>
            </w:r>
          </w:p>
        </w:tc>
        <w:tc>
          <w:tcPr>
            <w:tcW w:w="1196" w:type="dxa"/>
            <w:noWrap/>
            <w:vAlign w:val="bottom"/>
            <w:hideMark/>
          </w:tcPr>
          <w:p w14:paraId="47355163" w14:textId="5B642E4F" w:rsidR="000B36FC" w:rsidRPr="004E28B6" w:rsidRDefault="004E28B6" w:rsidP="00455CA7">
            <w:pPr>
              <w:jc w:val="right"/>
              <w:rPr>
                <w:rFonts w:ascii="Times New Roman" w:hAnsi="Times New Roman" w:cs="Times New Roman"/>
                <w:sz w:val="20"/>
                <w:szCs w:val="20"/>
              </w:rPr>
            </w:pPr>
            <w:r>
              <w:rPr>
                <w:rFonts w:ascii="Times New Roman" w:hAnsi="Times New Roman" w:cs="Times New Roman"/>
                <w:sz w:val="20"/>
                <w:szCs w:val="20"/>
              </w:rPr>
              <w:t xml:space="preserve">          </w:t>
            </w:r>
            <w:r w:rsidR="00AC03CC" w:rsidRPr="00AC03CC">
              <w:rPr>
                <w:rFonts w:ascii="Times New Roman" w:hAnsi="Times New Roman" w:cs="Times New Roman"/>
                <w:sz w:val="20"/>
                <w:szCs w:val="20"/>
              </w:rPr>
              <w:t>198</w:t>
            </w:r>
          </w:p>
          <w:p w14:paraId="63738CA7" w14:textId="19F715DF" w:rsidR="00E879FA" w:rsidRPr="00E879FA" w:rsidRDefault="00E879FA" w:rsidP="00455CA7">
            <w:pPr>
              <w:jc w:val="right"/>
              <w:rPr>
                <w:rFonts w:ascii="Times New Roman" w:eastAsia="Times New Roman" w:hAnsi="Times New Roman" w:cs="Times New Roman"/>
                <w:sz w:val="20"/>
                <w:szCs w:val="20"/>
                <w:lang w:val="en-US"/>
              </w:rPr>
            </w:pPr>
          </w:p>
        </w:tc>
      </w:tr>
      <w:tr w:rsidR="000D4126" w:rsidRPr="00B47F53" w14:paraId="75A240E4" w14:textId="77777777" w:rsidTr="001155F8">
        <w:trPr>
          <w:trHeight w:val="600"/>
        </w:trPr>
        <w:tc>
          <w:tcPr>
            <w:tcW w:w="4855" w:type="dxa"/>
          </w:tcPr>
          <w:p w14:paraId="74DAD91E" w14:textId="2FF83928" w:rsidR="000D4126" w:rsidRPr="00B47F53" w:rsidRDefault="000D4126" w:rsidP="000D4126">
            <w:pPr>
              <w:rPr>
                <w:rFonts w:ascii="Times New Roman" w:eastAsia="Times New Roman" w:hAnsi="Times New Roman" w:cs="Times New Roman"/>
                <w:sz w:val="20"/>
                <w:szCs w:val="20"/>
                <w:lang w:val="en-US"/>
              </w:rPr>
            </w:pPr>
            <w:r w:rsidRPr="00B47F53">
              <w:rPr>
                <w:rFonts w:ascii="Times New Roman" w:eastAsia="Times New Roman" w:hAnsi="Times New Roman" w:cs="Times New Roman"/>
                <w:sz w:val="20"/>
                <w:szCs w:val="20"/>
                <w:lang w:val="en-US"/>
              </w:rPr>
              <w:t>Residential mortgage loans</w:t>
            </w:r>
          </w:p>
        </w:tc>
        <w:tc>
          <w:tcPr>
            <w:tcW w:w="1371" w:type="dxa"/>
          </w:tcPr>
          <w:p w14:paraId="44C0FAC9" w14:textId="77777777" w:rsidR="000D4126" w:rsidRPr="00F4207B" w:rsidRDefault="000D4126" w:rsidP="000D4126">
            <w:pPr>
              <w:rPr>
                <w:rFonts w:ascii="Times New Roman" w:hAnsi="Times New Roman" w:cs="Times New Roman"/>
                <w:sz w:val="20"/>
                <w:szCs w:val="20"/>
              </w:rPr>
            </w:pPr>
            <w:r>
              <w:rPr>
                <w:rFonts w:ascii="Times New Roman" w:hAnsi="Times New Roman" w:cs="Times New Roman"/>
                <w:sz w:val="20"/>
                <w:szCs w:val="20"/>
              </w:rPr>
              <w:t xml:space="preserve">           </w:t>
            </w:r>
            <w:r w:rsidRPr="00F4207B">
              <w:rPr>
                <w:rFonts w:ascii="Times New Roman" w:hAnsi="Times New Roman" w:cs="Times New Roman"/>
                <w:sz w:val="20"/>
                <w:szCs w:val="20"/>
              </w:rPr>
              <w:t>46,694</w:t>
            </w:r>
          </w:p>
          <w:p w14:paraId="3A61BFB2" w14:textId="77777777" w:rsidR="000D4126" w:rsidRPr="000B36FC" w:rsidRDefault="000D4126" w:rsidP="000D4126">
            <w:pPr>
              <w:rPr>
                <w:rFonts w:ascii="Times New Roman" w:hAnsi="Times New Roman" w:cs="Times New Roman"/>
                <w:sz w:val="20"/>
                <w:szCs w:val="20"/>
              </w:rPr>
            </w:pPr>
          </w:p>
          <w:p w14:paraId="0AC856A7" w14:textId="77777777" w:rsidR="000D4126" w:rsidRPr="00F4207B" w:rsidRDefault="000D4126" w:rsidP="000D4126">
            <w:pPr>
              <w:jc w:val="right"/>
              <w:rPr>
                <w:rFonts w:ascii="Times New Roman" w:hAnsi="Times New Roman" w:cs="Times New Roman"/>
                <w:sz w:val="20"/>
                <w:szCs w:val="20"/>
              </w:rPr>
            </w:pPr>
          </w:p>
        </w:tc>
        <w:tc>
          <w:tcPr>
            <w:tcW w:w="1594" w:type="dxa"/>
            <w:noWrap/>
          </w:tcPr>
          <w:p w14:paraId="42B0F6CC" w14:textId="5303DEDD" w:rsidR="000D4126" w:rsidRPr="00E879FA" w:rsidRDefault="000D4126" w:rsidP="000D4126">
            <w:pPr>
              <w:jc w:val="center"/>
              <w:rPr>
                <w:rFonts w:ascii="Times New Roman" w:hAnsi="Times New Roman" w:cs="Times New Roman"/>
                <w:sz w:val="20"/>
                <w:szCs w:val="20"/>
              </w:rPr>
            </w:pPr>
            <w:r w:rsidRPr="00E879FA">
              <w:rPr>
                <w:rFonts w:ascii="Times New Roman" w:hAnsi="Times New Roman" w:cs="Times New Roman"/>
                <w:sz w:val="20"/>
                <w:szCs w:val="20"/>
              </w:rPr>
              <w:t>35%</w:t>
            </w:r>
          </w:p>
        </w:tc>
        <w:tc>
          <w:tcPr>
            <w:tcW w:w="1196" w:type="dxa"/>
            <w:noWrap/>
          </w:tcPr>
          <w:p w14:paraId="56899DE6" w14:textId="77777777" w:rsidR="000D4126" w:rsidRPr="00AC03CC" w:rsidRDefault="000D4126" w:rsidP="000D4126">
            <w:pPr>
              <w:rPr>
                <w:rFonts w:ascii="Times New Roman" w:hAnsi="Times New Roman" w:cs="Times New Roman"/>
                <w:sz w:val="20"/>
                <w:szCs w:val="20"/>
              </w:rPr>
            </w:pPr>
            <w:r>
              <w:rPr>
                <w:rFonts w:ascii="Times New Roman" w:hAnsi="Times New Roman" w:cs="Times New Roman"/>
                <w:sz w:val="20"/>
                <w:szCs w:val="20"/>
              </w:rPr>
              <w:t xml:space="preserve">        </w:t>
            </w:r>
            <w:r w:rsidRPr="00AC03CC">
              <w:rPr>
                <w:rFonts w:ascii="Times New Roman" w:hAnsi="Times New Roman" w:cs="Times New Roman"/>
                <w:sz w:val="20"/>
                <w:szCs w:val="20"/>
              </w:rPr>
              <w:t>16,343</w:t>
            </w:r>
          </w:p>
          <w:p w14:paraId="19F8B772" w14:textId="77777777" w:rsidR="000D4126" w:rsidRDefault="000D4126" w:rsidP="000D4126">
            <w:pPr>
              <w:jc w:val="right"/>
              <w:rPr>
                <w:rFonts w:ascii="Times New Roman" w:hAnsi="Times New Roman" w:cs="Times New Roman"/>
                <w:sz w:val="20"/>
                <w:szCs w:val="20"/>
              </w:rPr>
            </w:pPr>
          </w:p>
        </w:tc>
      </w:tr>
      <w:tr w:rsidR="00F27BEB" w:rsidRPr="00B47F53" w14:paraId="07597E90" w14:textId="77777777" w:rsidTr="00F27BEB">
        <w:trPr>
          <w:trHeight w:val="265"/>
        </w:trPr>
        <w:tc>
          <w:tcPr>
            <w:tcW w:w="4855" w:type="dxa"/>
          </w:tcPr>
          <w:p w14:paraId="13EE6222" w14:textId="42E82513" w:rsidR="00F27BEB" w:rsidRPr="00B47F53" w:rsidRDefault="00F27BEB" w:rsidP="00F27BEB">
            <w:pPr>
              <w:rPr>
                <w:rFonts w:ascii="Times New Roman" w:eastAsia="Times New Roman" w:hAnsi="Times New Roman" w:cs="Times New Roman"/>
                <w:sz w:val="20"/>
                <w:szCs w:val="20"/>
                <w:lang w:val="en-US"/>
              </w:rPr>
            </w:pPr>
            <w:r w:rsidRPr="00B47F53">
              <w:rPr>
                <w:rFonts w:ascii="Times New Roman" w:eastAsia="Times New Roman" w:hAnsi="Times New Roman" w:cs="Times New Roman"/>
                <w:sz w:val="20"/>
                <w:szCs w:val="20"/>
                <w:lang w:val="en-US"/>
              </w:rPr>
              <w:t>Other non-qualifying Residential Mortgages</w:t>
            </w:r>
          </w:p>
        </w:tc>
        <w:tc>
          <w:tcPr>
            <w:tcW w:w="1371" w:type="dxa"/>
          </w:tcPr>
          <w:p w14:paraId="3B377B09" w14:textId="1983D136" w:rsidR="00F27BEB" w:rsidRDefault="00F27BEB" w:rsidP="00F27BEB">
            <w:pPr>
              <w:rPr>
                <w:rFonts w:ascii="Times New Roman" w:hAnsi="Times New Roman" w:cs="Times New Roman"/>
                <w:sz w:val="20"/>
                <w:szCs w:val="20"/>
              </w:rPr>
            </w:pPr>
            <w:r>
              <w:rPr>
                <w:rFonts w:ascii="Times New Roman" w:hAnsi="Times New Roman" w:cs="Times New Roman"/>
                <w:sz w:val="20"/>
                <w:szCs w:val="20"/>
              </w:rPr>
              <w:t xml:space="preserve">          </w:t>
            </w:r>
            <w:r w:rsidRPr="00F4207B">
              <w:rPr>
                <w:rFonts w:ascii="Times New Roman" w:hAnsi="Times New Roman" w:cs="Times New Roman"/>
                <w:sz w:val="20"/>
                <w:szCs w:val="20"/>
              </w:rPr>
              <w:t>12,85</w:t>
            </w:r>
            <w:r>
              <w:rPr>
                <w:rFonts w:ascii="Times New Roman" w:hAnsi="Times New Roman" w:cs="Times New Roman"/>
                <w:sz w:val="20"/>
                <w:szCs w:val="20"/>
              </w:rPr>
              <w:t>6</w:t>
            </w:r>
          </w:p>
        </w:tc>
        <w:tc>
          <w:tcPr>
            <w:tcW w:w="1594" w:type="dxa"/>
            <w:noWrap/>
          </w:tcPr>
          <w:p w14:paraId="631E6B9D" w14:textId="77777777" w:rsidR="00F27BEB" w:rsidRPr="00E879FA" w:rsidRDefault="00F27BEB" w:rsidP="00F27BEB">
            <w:pPr>
              <w:jc w:val="center"/>
              <w:rPr>
                <w:rFonts w:ascii="Times New Roman" w:eastAsia="Times New Roman" w:hAnsi="Times New Roman" w:cs="Times New Roman"/>
                <w:sz w:val="20"/>
                <w:szCs w:val="20"/>
                <w:lang w:val="en-US"/>
              </w:rPr>
            </w:pPr>
            <w:r w:rsidRPr="00E879FA">
              <w:rPr>
                <w:rFonts w:ascii="Times New Roman" w:hAnsi="Times New Roman" w:cs="Times New Roman"/>
                <w:sz w:val="20"/>
                <w:szCs w:val="20"/>
              </w:rPr>
              <w:t>75%</w:t>
            </w:r>
          </w:p>
          <w:p w14:paraId="5A77DA17" w14:textId="77777777" w:rsidR="00F27BEB" w:rsidRPr="00E879FA" w:rsidRDefault="00F27BEB" w:rsidP="00F27BEB">
            <w:pPr>
              <w:jc w:val="center"/>
              <w:rPr>
                <w:rFonts w:ascii="Times New Roman" w:hAnsi="Times New Roman" w:cs="Times New Roman"/>
                <w:sz w:val="20"/>
                <w:szCs w:val="20"/>
              </w:rPr>
            </w:pPr>
          </w:p>
        </w:tc>
        <w:tc>
          <w:tcPr>
            <w:tcW w:w="1196" w:type="dxa"/>
            <w:noWrap/>
          </w:tcPr>
          <w:p w14:paraId="211350F6" w14:textId="77777777" w:rsidR="00F27BEB" w:rsidRPr="00AC03CC" w:rsidRDefault="00F27BEB" w:rsidP="00F27BEB">
            <w:pPr>
              <w:rPr>
                <w:rFonts w:ascii="Times New Roman" w:hAnsi="Times New Roman" w:cs="Times New Roman"/>
                <w:sz w:val="20"/>
                <w:szCs w:val="20"/>
              </w:rPr>
            </w:pPr>
            <w:r>
              <w:rPr>
                <w:rFonts w:ascii="Times New Roman" w:hAnsi="Times New Roman" w:cs="Times New Roman"/>
                <w:sz w:val="20"/>
                <w:szCs w:val="20"/>
              </w:rPr>
              <w:t xml:space="preserve">         </w:t>
            </w:r>
            <w:r w:rsidRPr="00AC03CC">
              <w:rPr>
                <w:rFonts w:ascii="Times New Roman" w:hAnsi="Times New Roman" w:cs="Times New Roman"/>
                <w:sz w:val="20"/>
                <w:szCs w:val="20"/>
              </w:rPr>
              <w:t>9,642</w:t>
            </w:r>
          </w:p>
          <w:p w14:paraId="7D15A88F" w14:textId="77777777" w:rsidR="00F27BEB" w:rsidRPr="000B36FC" w:rsidRDefault="00F27BEB" w:rsidP="00F27BEB">
            <w:pPr>
              <w:rPr>
                <w:rFonts w:ascii="Times New Roman" w:hAnsi="Times New Roman" w:cs="Times New Roman"/>
                <w:sz w:val="20"/>
                <w:szCs w:val="20"/>
              </w:rPr>
            </w:pPr>
          </w:p>
          <w:p w14:paraId="42F062D2" w14:textId="77777777" w:rsidR="00F27BEB" w:rsidRPr="00E879FA" w:rsidRDefault="00F27BEB" w:rsidP="00F27BEB">
            <w:pPr>
              <w:jc w:val="right"/>
              <w:rPr>
                <w:rFonts w:ascii="Times New Roman" w:eastAsia="Times New Roman" w:hAnsi="Times New Roman" w:cs="Times New Roman"/>
                <w:sz w:val="20"/>
                <w:szCs w:val="20"/>
                <w:lang w:val="en-US"/>
              </w:rPr>
            </w:pPr>
          </w:p>
          <w:p w14:paraId="42F68BAF" w14:textId="77777777" w:rsidR="00F27BEB" w:rsidRDefault="00F27BEB" w:rsidP="00F27BEB">
            <w:pPr>
              <w:rPr>
                <w:rFonts w:ascii="Times New Roman" w:hAnsi="Times New Roman" w:cs="Times New Roman"/>
                <w:sz w:val="20"/>
                <w:szCs w:val="20"/>
              </w:rPr>
            </w:pPr>
          </w:p>
        </w:tc>
      </w:tr>
      <w:tr w:rsidR="00F27BEB" w:rsidRPr="00B47F53" w14:paraId="556935BC" w14:textId="77777777" w:rsidTr="000645BD">
        <w:trPr>
          <w:trHeight w:val="600"/>
        </w:trPr>
        <w:tc>
          <w:tcPr>
            <w:tcW w:w="4855" w:type="dxa"/>
            <w:hideMark/>
          </w:tcPr>
          <w:p w14:paraId="2CC786B6" w14:textId="77777777" w:rsidR="00F27BEB" w:rsidRPr="00B47F53" w:rsidRDefault="00F27BEB" w:rsidP="00F27BEB">
            <w:pPr>
              <w:rPr>
                <w:rFonts w:ascii="Times New Roman" w:eastAsia="Times New Roman" w:hAnsi="Times New Roman" w:cs="Times New Roman"/>
                <w:sz w:val="20"/>
                <w:szCs w:val="20"/>
                <w:lang w:val="en-US"/>
              </w:rPr>
            </w:pPr>
            <w:r w:rsidRPr="00B47F53">
              <w:rPr>
                <w:rFonts w:ascii="Times New Roman" w:eastAsia="Times New Roman" w:hAnsi="Times New Roman" w:cs="Times New Roman"/>
                <w:sz w:val="20"/>
                <w:szCs w:val="20"/>
                <w:lang w:val="en-US"/>
              </w:rPr>
              <w:lastRenderedPageBreak/>
              <w:t>Past due (qualifying mortgage loans) for more than 90 days and specific provision is more than 20% of the loan.</w:t>
            </w:r>
          </w:p>
        </w:tc>
        <w:tc>
          <w:tcPr>
            <w:tcW w:w="1371" w:type="dxa"/>
            <w:hideMark/>
          </w:tcPr>
          <w:p w14:paraId="7D87B500" w14:textId="2E165394" w:rsidR="00F27BEB" w:rsidRPr="00E879FA" w:rsidRDefault="00F27BEB" w:rsidP="00F27BEB">
            <w:pPr>
              <w:jc w:val="right"/>
              <w:rPr>
                <w:rFonts w:ascii="Times New Roman" w:eastAsia="Times New Roman" w:hAnsi="Times New Roman" w:cs="Times New Roman"/>
                <w:sz w:val="20"/>
                <w:szCs w:val="20"/>
                <w:lang w:val="en-US"/>
              </w:rPr>
            </w:pPr>
            <w:r>
              <w:rPr>
                <w:rFonts w:ascii="Times New Roman" w:hAnsi="Times New Roman" w:cs="Times New Roman"/>
                <w:sz w:val="20"/>
                <w:szCs w:val="20"/>
              </w:rPr>
              <w:t>-</w:t>
            </w:r>
          </w:p>
        </w:tc>
        <w:tc>
          <w:tcPr>
            <w:tcW w:w="1594" w:type="dxa"/>
            <w:noWrap/>
            <w:hideMark/>
          </w:tcPr>
          <w:p w14:paraId="5A37CCBD" w14:textId="2E180C8A" w:rsidR="00F27BEB" w:rsidRPr="00E879FA" w:rsidRDefault="00F27BEB" w:rsidP="00F27BEB">
            <w:pPr>
              <w:jc w:val="center"/>
              <w:rPr>
                <w:rFonts w:ascii="Times New Roman" w:eastAsia="Times New Roman" w:hAnsi="Times New Roman" w:cs="Times New Roman"/>
                <w:sz w:val="20"/>
                <w:szCs w:val="20"/>
                <w:lang w:val="en-US"/>
              </w:rPr>
            </w:pPr>
            <w:r w:rsidRPr="00E879FA">
              <w:rPr>
                <w:rFonts w:ascii="Times New Roman" w:hAnsi="Times New Roman" w:cs="Times New Roman"/>
                <w:sz w:val="20"/>
                <w:szCs w:val="20"/>
              </w:rPr>
              <w:t>50%</w:t>
            </w:r>
          </w:p>
        </w:tc>
        <w:tc>
          <w:tcPr>
            <w:tcW w:w="1196" w:type="dxa"/>
            <w:noWrap/>
            <w:hideMark/>
          </w:tcPr>
          <w:p w14:paraId="29B665B9" w14:textId="3EBC0441" w:rsidR="00F27BEB" w:rsidRPr="00E879FA" w:rsidRDefault="00F27BEB" w:rsidP="00F27BEB">
            <w:pPr>
              <w:jc w:val="right"/>
              <w:rPr>
                <w:rFonts w:ascii="Times New Roman" w:eastAsia="Times New Roman" w:hAnsi="Times New Roman" w:cs="Times New Roman"/>
                <w:sz w:val="20"/>
                <w:szCs w:val="20"/>
                <w:lang w:val="en-US"/>
              </w:rPr>
            </w:pPr>
            <w:r>
              <w:rPr>
                <w:rFonts w:ascii="Times New Roman" w:hAnsi="Times New Roman" w:cs="Times New Roman"/>
                <w:sz w:val="20"/>
                <w:szCs w:val="20"/>
              </w:rPr>
              <w:t>-</w:t>
            </w:r>
          </w:p>
        </w:tc>
      </w:tr>
      <w:tr w:rsidR="00F27BEB" w:rsidRPr="00B47F53" w14:paraId="05A4D8FD" w14:textId="77777777" w:rsidTr="000645BD">
        <w:trPr>
          <w:trHeight w:val="540"/>
        </w:trPr>
        <w:tc>
          <w:tcPr>
            <w:tcW w:w="4855" w:type="dxa"/>
            <w:noWrap/>
            <w:hideMark/>
          </w:tcPr>
          <w:p w14:paraId="403F4ABC" w14:textId="77777777" w:rsidR="00F27BEB" w:rsidRPr="00B47F53" w:rsidRDefault="00F27BEB" w:rsidP="00F27BEB">
            <w:pPr>
              <w:jc w:val="both"/>
              <w:rPr>
                <w:rFonts w:ascii="Times New Roman" w:eastAsia="Times New Roman" w:hAnsi="Times New Roman" w:cs="Times New Roman"/>
                <w:sz w:val="20"/>
                <w:szCs w:val="20"/>
                <w:lang w:val="en-US"/>
              </w:rPr>
            </w:pPr>
            <w:r w:rsidRPr="00B47F53">
              <w:rPr>
                <w:rFonts w:ascii="Times New Roman" w:eastAsia="Times New Roman" w:hAnsi="Times New Roman" w:cs="Times New Roman"/>
                <w:sz w:val="20"/>
                <w:szCs w:val="20"/>
                <w:lang w:val="en-US"/>
              </w:rPr>
              <w:t>(i) Past due non-qualifying residential mortgages where specific provision is less than 20% of the loan.</w:t>
            </w:r>
          </w:p>
        </w:tc>
        <w:tc>
          <w:tcPr>
            <w:tcW w:w="1371" w:type="dxa"/>
            <w:hideMark/>
          </w:tcPr>
          <w:p w14:paraId="1340CC43" w14:textId="562E36E5" w:rsidR="00F27BEB" w:rsidRDefault="00F27BEB" w:rsidP="00F27BEB">
            <w:pPr>
              <w:jc w:val="right"/>
              <w:rPr>
                <w:rFonts w:ascii="Times New Roman" w:hAnsi="Times New Roman" w:cs="Times New Roman"/>
                <w:sz w:val="20"/>
                <w:szCs w:val="20"/>
              </w:rPr>
            </w:pPr>
            <w:r>
              <w:rPr>
                <w:rFonts w:ascii="Times New Roman" w:hAnsi="Times New Roman" w:cs="Times New Roman"/>
                <w:sz w:val="20"/>
                <w:szCs w:val="20"/>
              </w:rPr>
              <w:t>-</w:t>
            </w:r>
          </w:p>
          <w:p w14:paraId="5722D52E" w14:textId="77765FA9" w:rsidR="00F27BEB" w:rsidRPr="00E879FA" w:rsidRDefault="00F27BEB" w:rsidP="00F27BEB">
            <w:pPr>
              <w:jc w:val="right"/>
              <w:rPr>
                <w:rFonts w:ascii="Times New Roman" w:eastAsia="Times New Roman" w:hAnsi="Times New Roman" w:cs="Times New Roman"/>
                <w:sz w:val="20"/>
                <w:szCs w:val="20"/>
                <w:lang w:val="en-US"/>
              </w:rPr>
            </w:pPr>
          </w:p>
        </w:tc>
        <w:tc>
          <w:tcPr>
            <w:tcW w:w="1594" w:type="dxa"/>
            <w:noWrap/>
            <w:hideMark/>
          </w:tcPr>
          <w:p w14:paraId="6E59191B" w14:textId="0E4B7811" w:rsidR="00F27BEB" w:rsidRPr="00E879FA" w:rsidRDefault="00F27BEB" w:rsidP="00F27BEB">
            <w:pPr>
              <w:jc w:val="center"/>
              <w:rPr>
                <w:rFonts w:ascii="Times New Roman" w:eastAsia="Times New Roman" w:hAnsi="Times New Roman" w:cs="Times New Roman"/>
                <w:sz w:val="20"/>
                <w:szCs w:val="20"/>
                <w:lang w:val="en-US"/>
              </w:rPr>
            </w:pPr>
            <w:r w:rsidRPr="00E879FA">
              <w:rPr>
                <w:rFonts w:ascii="Times New Roman" w:hAnsi="Times New Roman" w:cs="Times New Roman"/>
                <w:sz w:val="20"/>
                <w:szCs w:val="20"/>
              </w:rPr>
              <w:t>150%</w:t>
            </w:r>
          </w:p>
        </w:tc>
        <w:tc>
          <w:tcPr>
            <w:tcW w:w="1196" w:type="dxa"/>
            <w:noWrap/>
            <w:hideMark/>
          </w:tcPr>
          <w:p w14:paraId="06155E79" w14:textId="0D7CAC4C" w:rsidR="00F27BEB" w:rsidRDefault="00F27BEB" w:rsidP="00F27BEB">
            <w:pPr>
              <w:jc w:val="right"/>
              <w:rPr>
                <w:rFonts w:ascii="Times New Roman" w:hAnsi="Times New Roman" w:cs="Times New Roman"/>
                <w:sz w:val="20"/>
                <w:szCs w:val="20"/>
              </w:rPr>
            </w:pPr>
            <w:r>
              <w:rPr>
                <w:rFonts w:ascii="Times New Roman" w:hAnsi="Times New Roman" w:cs="Times New Roman"/>
                <w:sz w:val="20"/>
                <w:szCs w:val="20"/>
              </w:rPr>
              <w:t>-</w:t>
            </w:r>
          </w:p>
          <w:p w14:paraId="6B250104" w14:textId="74D7639C" w:rsidR="00F27BEB" w:rsidRPr="00E879FA" w:rsidRDefault="00F27BEB" w:rsidP="00F27BEB">
            <w:pPr>
              <w:jc w:val="right"/>
              <w:rPr>
                <w:rFonts w:ascii="Times New Roman" w:eastAsia="Times New Roman" w:hAnsi="Times New Roman" w:cs="Times New Roman"/>
                <w:sz w:val="20"/>
                <w:szCs w:val="20"/>
                <w:lang w:val="en-US"/>
              </w:rPr>
            </w:pPr>
          </w:p>
        </w:tc>
      </w:tr>
      <w:tr w:rsidR="00F27BEB" w:rsidRPr="00B47F53" w14:paraId="12D906F5" w14:textId="77777777" w:rsidTr="000645BD">
        <w:trPr>
          <w:trHeight w:val="540"/>
        </w:trPr>
        <w:tc>
          <w:tcPr>
            <w:tcW w:w="4855" w:type="dxa"/>
            <w:hideMark/>
          </w:tcPr>
          <w:p w14:paraId="20250FFE" w14:textId="0D3C60F1" w:rsidR="00F27BEB" w:rsidRPr="00B47F53" w:rsidRDefault="00F27BEB" w:rsidP="00F27BEB">
            <w:pPr>
              <w:jc w:val="both"/>
              <w:rPr>
                <w:rFonts w:ascii="Times New Roman" w:eastAsia="Times New Roman" w:hAnsi="Times New Roman" w:cs="Times New Roman"/>
                <w:sz w:val="20"/>
                <w:szCs w:val="20"/>
                <w:lang w:val="en-US"/>
              </w:rPr>
            </w:pPr>
            <w:r w:rsidRPr="00B47F53">
              <w:rPr>
                <w:rFonts w:ascii="Times New Roman" w:eastAsia="Times New Roman" w:hAnsi="Times New Roman" w:cs="Times New Roman"/>
                <w:sz w:val="20"/>
                <w:szCs w:val="20"/>
                <w:lang w:val="en-US"/>
              </w:rPr>
              <w:t>(ii) Past due non-qualifying residential mortgages where specific provision is equal to or greater than 20% but less than 50% of the loan.</w:t>
            </w:r>
          </w:p>
        </w:tc>
        <w:tc>
          <w:tcPr>
            <w:tcW w:w="1371" w:type="dxa"/>
            <w:hideMark/>
          </w:tcPr>
          <w:p w14:paraId="56D347F7" w14:textId="7D80D47F" w:rsidR="00F27BEB" w:rsidRDefault="00F27BEB" w:rsidP="00F27BEB">
            <w:pPr>
              <w:jc w:val="right"/>
              <w:rPr>
                <w:rFonts w:ascii="Times New Roman" w:hAnsi="Times New Roman" w:cs="Times New Roman"/>
                <w:sz w:val="20"/>
                <w:szCs w:val="20"/>
              </w:rPr>
            </w:pPr>
            <w:r>
              <w:rPr>
                <w:rFonts w:ascii="Times New Roman" w:hAnsi="Times New Roman" w:cs="Times New Roman"/>
                <w:sz w:val="20"/>
                <w:szCs w:val="20"/>
              </w:rPr>
              <w:t>-</w:t>
            </w:r>
          </w:p>
          <w:p w14:paraId="48E351F3" w14:textId="11572280" w:rsidR="00F27BEB" w:rsidRPr="00E879FA" w:rsidRDefault="00F27BEB" w:rsidP="00F27BEB">
            <w:pPr>
              <w:jc w:val="right"/>
              <w:rPr>
                <w:rFonts w:ascii="Times New Roman" w:eastAsia="Times New Roman" w:hAnsi="Times New Roman" w:cs="Times New Roman"/>
                <w:sz w:val="20"/>
                <w:szCs w:val="20"/>
                <w:lang w:val="en-US"/>
              </w:rPr>
            </w:pPr>
          </w:p>
        </w:tc>
        <w:tc>
          <w:tcPr>
            <w:tcW w:w="1594" w:type="dxa"/>
            <w:noWrap/>
            <w:hideMark/>
          </w:tcPr>
          <w:p w14:paraId="53CBA67A" w14:textId="090E63AB" w:rsidR="00F27BEB" w:rsidRPr="00E879FA" w:rsidRDefault="00F27BEB" w:rsidP="00F27BEB">
            <w:pPr>
              <w:jc w:val="center"/>
              <w:rPr>
                <w:rFonts w:ascii="Times New Roman" w:eastAsia="Times New Roman" w:hAnsi="Times New Roman" w:cs="Times New Roman"/>
                <w:sz w:val="20"/>
                <w:szCs w:val="20"/>
                <w:lang w:val="en-US"/>
              </w:rPr>
            </w:pPr>
            <w:r w:rsidRPr="00E879FA">
              <w:rPr>
                <w:rFonts w:ascii="Times New Roman" w:hAnsi="Times New Roman" w:cs="Times New Roman"/>
                <w:sz w:val="20"/>
                <w:szCs w:val="20"/>
              </w:rPr>
              <w:t>100%</w:t>
            </w:r>
          </w:p>
        </w:tc>
        <w:tc>
          <w:tcPr>
            <w:tcW w:w="1196" w:type="dxa"/>
            <w:noWrap/>
            <w:hideMark/>
          </w:tcPr>
          <w:p w14:paraId="64B844FD" w14:textId="07108B75" w:rsidR="00F27BEB" w:rsidRDefault="00F27BEB" w:rsidP="00F27BEB">
            <w:pPr>
              <w:jc w:val="right"/>
              <w:rPr>
                <w:rFonts w:ascii="Times New Roman" w:hAnsi="Times New Roman" w:cs="Times New Roman"/>
                <w:sz w:val="20"/>
                <w:szCs w:val="20"/>
              </w:rPr>
            </w:pPr>
            <w:r>
              <w:rPr>
                <w:rFonts w:ascii="Times New Roman" w:hAnsi="Times New Roman" w:cs="Times New Roman"/>
                <w:sz w:val="20"/>
                <w:szCs w:val="20"/>
              </w:rPr>
              <w:t>-</w:t>
            </w:r>
          </w:p>
          <w:p w14:paraId="46BE6FEF" w14:textId="1F60EEDD" w:rsidR="00F27BEB" w:rsidRPr="00E879FA" w:rsidRDefault="00F27BEB" w:rsidP="00F27BEB">
            <w:pPr>
              <w:jc w:val="right"/>
              <w:rPr>
                <w:rFonts w:ascii="Times New Roman" w:eastAsia="Times New Roman" w:hAnsi="Times New Roman" w:cs="Times New Roman"/>
                <w:sz w:val="20"/>
                <w:szCs w:val="20"/>
                <w:lang w:val="en-US"/>
              </w:rPr>
            </w:pPr>
          </w:p>
        </w:tc>
      </w:tr>
      <w:tr w:rsidR="00F27BEB" w:rsidRPr="00B47F53" w14:paraId="4F9C0BC9" w14:textId="77777777" w:rsidTr="000645BD">
        <w:trPr>
          <w:trHeight w:val="540"/>
        </w:trPr>
        <w:tc>
          <w:tcPr>
            <w:tcW w:w="4855" w:type="dxa"/>
            <w:hideMark/>
          </w:tcPr>
          <w:p w14:paraId="2AECA465" w14:textId="5205EBFD" w:rsidR="00F27BEB" w:rsidRPr="00B47F53" w:rsidRDefault="00F27BEB" w:rsidP="00F27BEB">
            <w:pPr>
              <w:jc w:val="both"/>
              <w:rPr>
                <w:rFonts w:ascii="Times New Roman" w:eastAsia="Times New Roman" w:hAnsi="Times New Roman" w:cs="Times New Roman"/>
                <w:sz w:val="20"/>
                <w:szCs w:val="20"/>
                <w:lang w:val="en-US"/>
              </w:rPr>
            </w:pPr>
            <w:r w:rsidRPr="00B47F53">
              <w:rPr>
                <w:rFonts w:ascii="Times New Roman" w:eastAsia="Times New Roman" w:hAnsi="Times New Roman" w:cs="Times New Roman"/>
                <w:sz w:val="20"/>
                <w:szCs w:val="20"/>
                <w:lang w:val="en-US"/>
              </w:rPr>
              <w:t>(iii) Past due non-qualifying residential mortgages where specific provision is equal to 50% or more of the loan.</w:t>
            </w:r>
          </w:p>
        </w:tc>
        <w:tc>
          <w:tcPr>
            <w:tcW w:w="1371" w:type="dxa"/>
            <w:hideMark/>
          </w:tcPr>
          <w:p w14:paraId="536B83CB" w14:textId="425ACA39" w:rsidR="00F27BEB" w:rsidRPr="00E879FA" w:rsidRDefault="00F27BEB" w:rsidP="00F27BEB">
            <w:pPr>
              <w:jc w:val="right"/>
              <w:rPr>
                <w:rFonts w:ascii="Times New Roman" w:eastAsia="Times New Roman" w:hAnsi="Times New Roman" w:cs="Times New Roman"/>
                <w:sz w:val="20"/>
                <w:szCs w:val="20"/>
                <w:lang w:val="en-US"/>
              </w:rPr>
            </w:pPr>
            <w:r w:rsidRPr="00F4207B">
              <w:rPr>
                <w:rFonts w:ascii="Times New Roman" w:hAnsi="Times New Roman" w:cs="Times New Roman"/>
                <w:sz w:val="20"/>
                <w:szCs w:val="20"/>
              </w:rPr>
              <w:t>701</w:t>
            </w:r>
          </w:p>
        </w:tc>
        <w:tc>
          <w:tcPr>
            <w:tcW w:w="1594" w:type="dxa"/>
            <w:noWrap/>
            <w:hideMark/>
          </w:tcPr>
          <w:p w14:paraId="5EABD910" w14:textId="6269C633" w:rsidR="00F27BEB" w:rsidRPr="00E879FA" w:rsidRDefault="00F27BEB" w:rsidP="00F27BEB">
            <w:pPr>
              <w:jc w:val="center"/>
              <w:rPr>
                <w:rFonts w:ascii="Times New Roman" w:eastAsia="Times New Roman" w:hAnsi="Times New Roman" w:cs="Times New Roman"/>
                <w:sz w:val="20"/>
                <w:szCs w:val="20"/>
                <w:lang w:val="en-US"/>
              </w:rPr>
            </w:pPr>
            <w:r w:rsidRPr="00E879FA">
              <w:rPr>
                <w:rFonts w:ascii="Times New Roman" w:hAnsi="Times New Roman" w:cs="Times New Roman"/>
                <w:sz w:val="20"/>
                <w:szCs w:val="20"/>
              </w:rPr>
              <w:t>50%</w:t>
            </w:r>
          </w:p>
        </w:tc>
        <w:tc>
          <w:tcPr>
            <w:tcW w:w="1196" w:type="dxa"/>
            <w:noWrap/>
            <w:hideMark/>
          </w:tcPr>
          <w:p w14:paraId="01B31E3F" w14:textId="43AAE549" w:rsidR="00F27BEB" w:rsidRPr="00E879FA" w:rsidRDefault="00F27BEB" w:rsidP="00F27BEB">
            <w:pPr>
              <w:jc w:val="right"/>
              <w:rPr>
                <w:rFonts w:ascii="Times New Roman" w:eastAsia="Times New Roman" w:hAnsi="Times New Roman" w:cs="Times New Roman"/>
                <w:sz w:val="20"/>
                <w:szCs w:val="20"/>
                <w:lang w:val="en-US"/>
              </w:rPr>
            </w:pPr>
            <w:r w:rsidRPr="006B1E6F">
              <w:rPr>
                <w:rFonts w:ascii="Times New Roman" w:eastAsia="Times New Roman" w:hAnsi="Times New Roman" w:cs="Times New Roman"/>
                <w:sz w:val="20"/>
                <w:szCs w:val="20"/>
                <w:lang w:val="en-US"/>
              </w:rPr>
              <w:t>350</w:t>
            </w:r>
          </w:p>
        </w:tc>
      </w:tr>
      <w:tr w:rsidR="00F27BEB" w:rsidRPr="00B47F53" w14:paraId="2C0C8F42" w14:textId="77777777" w:rsidTr="000645BD">
        <w:trPr>
          <w:trHeight w:val="540"/>
        </w:trPr>
        <w:tc>
          <w:tcPr>
            <w:tcW w:w="4855" w:type="dxa"/>
          </w:tcPr>
          <w:p w14:paraId="05CCE053" w14:textId="7C68F8A8" w:rsidR="00F27BEB" w:rsidRPr="00B47F53" w:rsidRDefault="00F27BEB" w:rsidP="00F27BEB">
            <w:pPr>
              <w:jc w:val="both"/>
              <w:rPr>
                <w:rFonts w:ascii="Times New Roman" w:eastAsia="Times New Roman" w:hAnsi="Times New Roman" w:cs="Times New Roman"/>
                <w:sz w:val="20"/>
                <w:szCs w:val="20"/>
                <w:lang w:val="en-US"/>
              </w:rPr>
            </w:pPr>
            <w:r w:rsidRPr="00B47F53">
              <w:rPr>
                <w:rFonts w:ascii="Times New Roman" w:eastAsia="Times New Roman" w:hAnsi="Times New Roman" w:cs="Times New Roman"/>
                <w:sz w:val="20"/>
                <w:szCs w:val="20"/>
                <w:lang w:val="en-US"/>
              </w:rPr>
              <w:t>Commercial real estate</w:t>
            </w:r>
          </w:p>
        </w:tc>
        <w:tc>
          <w:tcPr>
            <w:tcW w:w="1371" w:type="dxa"/>
          </w:tcPr>
          <w:p w14:paraId="1FC6813C" w14:textId="692EFD17" w:rsidR="00F27BEB" w:rsidRPr="00F4207B" w:rsidRDefault="00F27BEB" w:rsidP="00F27BEB">
            <w:pPr>
              <w:jc w:val="right"/>
              <w:rPr>
                <w:rFonts w:ascii="Times New Roman" w:hAnsi="Times New Roman" w:cs="Times New Roman"/>
                <w:sz w:val="20"/>
                <w:szCs w:val="20"/>
              </w:rPr>
            </w:pPr>
            <w:r w:rsidRPr="00F4207B">
              <w:rPr>
                <w:rFonts w:ascii="Times New Roman" w:hAnsi="Times New Roman" w:cs="Times New Roman"/>
                <w:sz w:val="20"/>
                <w:szCs w:val="20"/>
              </w:rPr>
              <w:t>523,676</w:t>
            </w:r>
          </w:p>
        </w:tc>
        <w:tc>
          <w:tcPr>
            <w:tcW w:w="1594" w:type="dxa"/>
            <w:noWrap/>
          </w:tcPr>
          <w:p w14:paraId="1D588D4D" w14:textId="4AE6DFB6" w:rsidR="00F27BEB" w:rsidRPr="00E879FA" w:rsidRDefault="00F27BEB" w:rsidP="00F27BEB">
            <w:pPr>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196" w:type="dxa"/>
            <w:noWrap/>
          </w:tcPr>
          <w:p w14:paraId="693186C8" w14:textId="305EF9D5" w:rsidR="00F27BEB" w:rsidRPr="006B1E6F" w:rsidRDefault="00F27BEB" w:rsidP="00F27BEB">
            <w:pPr>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523,676</w:t>
            </w:r>
          </w:p>
        </w:tc>
      </w:tr>
      <w:tr w:rsidR="00F27BEB" w:rsidRPr="00B47F53" w14:paraId="1657A90F" w14:textId="77777777" w:rsidTr="00455CA7">
        <w:trPr>
          <w:trHeight w:val="585"/>
        </w:trPr>
        <w:tc>
          <w:tcPr>
            <w:tcW w:w="4855" w:type="dxa"/>
            <w:hideMark/>
          </w:tcPr>
          <w:p w14:paraId="547DDC94" w14:textId="77777777" w:rsidR="00F27BEB" w:rsidRPr="00B47F53" w:rsidRDefault="00F27BEB" w:rsidP="00F27BEB">
            <w:pPr>
              <w:rPr>
                <w:rFonts w:ascii="Times New Roman" w:eastAsia="Times New Roman" w:hAnsi="Times New Roman" w:cs="Times New Roman"/>
                <w:sz w:val="20"/>
                <w:szCs w:val="20"/>
                <w:lang w:val="en-US"/>
              </w:rPr>
            </w:pPr>
            <w:r w:rsidRPr="00B47F53">
              <w:rPr>
                <w:rFonts w:ascii="Times New Roman" w:eastAsia="Times New Roman" w:hAnsi="Times New Roman" w:cs="Times New Roman"/>
                <w:sz w:val="20"/>
                <w:szCs w:val="20"/>
                <w:lang w:val="en-US"/>
              </w:rPr>
              <w:t>Past due commercial real estate where specific provision is less than 20% of the loan.</w:t>
            </w:r>
          </w:p>
        </w:tc>
        <w:tc>
          <w:tcPr>
            <w:tcW w:w="1371" w:type="dxa"/>
            <w:vAlign w:val="bottom"/>
            <w:hideMark/>
          </w:tcPr>
          <w:p w14:paraId="13D776F4" w14:textId="74FB143B" w:rsidR="00F27BEB" w:rsidRPr="000B36FC" w:rsidRDefault="00F27BEB" w:rsidP="00F27BEB">
            <w:pPr>
              <w:jc w:val="right"/>
              <w:rPr>
                <w:rFonts w:ascii="Times New Roman" w:hAnsi="Times New Roman" w:cs="Times New Roman"/>
                <w:sz w:val="20"/>
                <w:szCs w:val="20"/>
              </w:rPr>
            </w:pPr>
            <w:r>
              <w:rPr>
                <w:rFonts w:ascii="Times New Roman" w:hAnsi="Times New Roman" w:cs="Times New Roman"/>
                <w:sz w:val="20"/>
                <w:szCs w:val="20"/>
              </w:rPr>
              <w:t xml:space="preserve">             </w:t>
            </w:r>
            <w:r w:rsidRPr="00205DBA">
              <w:rPr>
                <w:rFonts w:ascii="Times New Roman" w:hAnsi="Times New Roman" w:cs="Times New Roman"/>
                <w:sz w:val="20"/>
                <w:szCs w:val="20"/>
              </w:rPr>
              <w:t>9,384</w:t>
            </w:r>
          </w:p>
          <w:p w14:paraId="7B83EEF5" w14:textId="5B84E1CE" w:rsidR="00F27BEB" w:rsidRPr="00E879FA" w:rsidRDefault="00F27BEB" w:rsidP="00F27BEB">
            <w:pPr>
              <w:jc w:val="right"/>
              <w:rPr>
                <w:rFonts w:ascii="Times New Roman" w:eastAsia="Times New Roman" w:hAnsi="Times New Roman" w:cs="Times New Roman"/>
                <w:sz w:val="20"/>
                <w:szCs w:val="20"/>
                <w:lang w:val="en-US"/>
              </w:rPr>
            </w:pPr>
          </w:p>
        </w:tc>
        <w:tc>
          <w:tcPr>
            <w:tcW w:w="1594" w:type="dxa"/>
            <w:noWrap/>
            <w:vAlign w:val="bottom"/>
            <w:hideMark/>
          </w:tcPr>
          <w:p w14:paraId="0F731B00" w14:textId="675CCFFC" w:rsidR="00F27BEB" w:rsidRPr="00E879FA" w:rsidRDefault="00F27BEB" w:rsidP="00F27BEB">
            <w:pPr>
              <w:jc w:val="center"/>
              <w:rPr>
                <w:rFonts w:ascii="Times New Roman" w:eastAsia="Times New Roman" w:hAnsi="Times New Roman" w:cs="Times New Roman"/>
                <w:sz w:val="20"/>
                <w:szCs w:val="20"/>
                <w:lang w:val="en-US"/>
              </w:rPr>
            </w:pPr>
            <w:r w:rsidRPr="00E879FA">
              <w:rPr>
                <w:rFonts w:ascii="Times New Roman" w:hAnsi="Times New Roman" w:cs="Times New Roman"/>
                <w:sz w:val="20"/>
                <w:szCs w:val="20"/>
              </w:rPr>
              <w:t>150%</w:t>
            </w:r>
          </w:p>
        </w:tc>
        <w:tc>
          <w:tcPr>
            <w:tcW w:w="1196" w:type="dxa"/>
            <w:noWrap/>
            <w:vAlign w:val="bottom"/>
            <w:hideMark/>
          </w:tcPr>
          <w:p w14:paraId="533A1AF8" w14:textId="5A47B703" w:rsidR="00F27BEB" w:rsidRPr="000B36FC" w:rsidRDefault="00F27BEB" w:rsidP="00F27BEB">
            <w:pPr>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6B1E6F">
              <w:rPr>
                <w:rFonts w:ascii="Times New Roman" w:eastAsia="Times New Roman" w:hAnsi="Times New Roman" w:cs="Times New Roman"/>
                <w:sz w:val="20"/>
                <w:szCs w:val="20"/>
                <w:lang w:val="en-US"/>
              </w:rPr>
              <w:t>14,076</w:t>
            </w:r>
          </w:p>
          <w:p w14:paraId="4DDF9B5A" w14:textId="7ED88382" w:rsidR="00F27BEB" w:rsidRPr="00E879FA" w:rsidRDefault="00F27BEB" w:rsidP="00F27BEB">
            <w:pPr>
              <w:jc w:val="right"/>
              <w:rPr>
                <w:rFonts w:ascii="Times New Roman" w:eastAsia="Times New Roman" w:hAnsi="Times New Roman" w:cs="Times New Roman"/>
                <w:sz w:val="20"/>
                <w:szCs w:val="20"/>
                <w:lang w:val="en-US"/>
              </w:rPr>
            </w:pPr>
          </w:p>
        </w:tc>
      </w:tr>
      <w:tr w:rsidR="00F27BEB" w:rsidRPr="00B47F53" w14:paraId="00F53072" w14:textId="77777777" w:rsidTr="000645BD">
        <w:trPr>
          <w:trHeight w:val="585"/>
        </w:trPr>
        <w:tc>
          <w:tcPr>
            <w:tcW w:w="4855" w:type="dxa"/>
            <w:hideMark/>
          </w:tcPr>
          <w:p w14:paraId="3BFD645D" w14:textId="77777777" w:rsidR="00F27BEB" w:rsidRPr="00B47F53" w:rsidRDefault="00F27BEB" w:rsidP="00F27BEB">
            <w:pPr>
              <w:jc w:val="both"/>
              <w:rPr>
                <w:rFonts w:ascii="Times New Roman" w:eastAsia="Times New Roman" w:hAnsi="Times New Roman" w:cs="Times New Roman"/>
                <w:sz w:val="20"/>
                <w:szCs w:val="20"/>
                <w:lang w:val="en-US"/>
              </w:rPr>
            </w:pPr>
            <w:r w:rsidRPr="00B47F53">
              <w:rPr>
                <w:rFonts w:ascii="Times New Roman" w:eastAsia="Times New Roman" w:hAnsi="Times New Roman" w:cs="Times New Roman"/>
                <w:sz w:val="20"/>
                <w:szCs w:val="20"/>
                <w:lang w:val="en-US"/>
              </w:rPr>
              <w:t>Past due exposure where specific provision is equal to or greater than 20% but less than 50% of the loan.</w:t>
            </w:r>
          </w:p>
        </w:tc>
        <w:tc>
          <w:tcPr>
            <w:tcW w:w="1371" w:type="dxa"/>
            <w:hideMark/>
          </w:tcPr>
          <w:p w14:paraId="03001B4E" w14:textId="648A769A" w:rsidR="00F27BEB" w:rsidRPr="00E879FA" w:rsidRDefault="00F27BEB" w:rsidP="00F27BEB">
            <w:pPr>
              <w:jc w:val="right"/>
              <w:rPr>
                <w:rFonts w:ascii="Times New Roman" w:eastAsia="Times New Roman" w:hAnsi="Times New Roman" w:cs="Times New Roman"/>
                <w:sz w:val="20"/>
                <w:szCs w:val="20"/>
                <w:lang w:val="en-US"/>
              </w:rPr>
            </w:pPr>
            <w:r w:rsidRPr="00205DBA">
              <w:rPr>
                <w:rFonts w:ascii="Times New Roman" w:hAnsi="Times New Roman" w:cs="Times New Roman"/>
                <w:sz w:val="20"/>
                <w:szCs w:val="20"/>
              </w:rPr>
              <w:t>367</w:t>
            </w:r>
          </w:p>
        </w:tc>
        <w:tc>
          <w:tcPr>
            <w:tcW w:w="1594" w:type="dxa"/>
            <w:noWrap/>
            <w:hideMark/>
          </w:tcPr>
          <w:p w14:paraId="362438CF" w14:textId="33458636" w:rsidR="00F27BEB" w:rsidRPr="00E879FA" w:rsidRDefault="00F27BEB" w:rsidP="00F27BEB">
            <w:pPr>
              <w:jc w:val="center"/>
              <w:rPr>
                <w:rFonts w:ascii="Times New Roman" w:eastAsia="Times New Roman" w:hAnsi="Times New Roman" w:cs="Times New Roman"/>
                <w:sz w:val="20"/>
                <w:szCs w:val="20"/>
                <w:lang w:val="en-US"/>
              </w:rPr>
            </w:pPr>
            <w:r w:rsidRPr="00E879FA">
              <w:rPr>
                <w:rFonts w:ascii="Times New Roman" w:hAnsi="Times New Roman" w:cs="Times New Roman"/>
                <w:sz w:val="20"/>
                <w:szCs w:val="20"/>
              </w:rPr>
              <w:t>100%</w:t>
            </w:r>
          </w:p>
        </w:tc>
        <w:tc>
          <w:tcPr>
            <w:tcW w:w="1196" w:type="dxa"/>
            <w:noWrap/>
            <w:hideMark/>
          </w:tcPr>
          <w:p w14:paraId="26A41CE4" w14:textId="7780112B" w:rsidR="00F27BEB" w:rsidRPr="00E879FA" w:rsidRDefault="00F27BEB" w:rsidP="00F27BEB">
            <w:pPr>
              <w:jc w:val="right"/>
              <w:rPr>
                <w:rFonts w:ascii="Times New Roman" w:eastAsia="Times New Roman" w:hAnsi="Times New Roman" w:cs="Times New Roman"/>
                <w:sz w:val="20"/>
                <w:szCs w:val="20"/>
                <w:lang w:val="en-US"/>
              </w:rPr>
            </w:pPr>
            <w:r w:rsidRPr="006B1E6F">
              <w:rPr>
                <w:rFonts w:ascii="Times New Roman" w:hAnsi="Times New Roman" w:cs="Times New Roman"/>
                <w:sz w:val="20"/>
                <w:szCs w:val="20"/>
              </w:rPr>
              <w:t>367</w:t>
            </w:r>
          </w:p>
        </w:tc>
      </w:tr>
      <w:tr w:rsidR="00F27BEB" w:rsidRPr="00B47F53" w14:paraId="5E39D79B" w14:textId="77777777" w:rsidTr="000645BD">
        <w:trPr>
          <w:trHeight w:val="585"/>
        </w:trPr>
        <w:tc>
          <w:tcPr>
            <w:tcW w:w="4855" w:type="dxa"/>
            <w:hideMark/>
          </w:tcPr>
          <w:p w14:paraId="5950422E" w14:textId="77777777" w:rsidR="00F27BEB" w:rsidRPr="00B47F53" w:rsidRDefault="00F27BEB" w:rsidP="00F27BEB">
            <w:pPr>
              <w:jc w:val="both"/>
              <w:rPr>
                <w:rFonts w:ascii="Times New Roman" w:eastAsia="Times New Roman" w:hAnsi="Times New Roman" w:cs="Times New Roman"/>
                <w:sz w:val="20"/>
                <w:szCs w:val="20"/>
                <w:lang w:val="en-US"/>
              </w:rPr>
            </w:pPr>
            <w:r w:rsidRPr="00B47F53">
              <w:rPr>
                <w:rFonts w:ascii="Times New Roman" w:eastAsia="Times New Roman" w:hAnsi="Times New Roman" w:cs="Times New Roman"/>
                <w:sz w:val="20"/>
                <w:szCs w:val="20"/>
                <w:lang w:val="en-US"/>
              </w:rPr>
              <w:t>Past due exposure where specific provision is equal to 50% or more of the loan.</w:t>
            </w:r>
          </w:p>
        </w:tc>
        <w:tc>
          <w:tcPr>
            <w:tcW w:w="1371" w:type="dxa"/>
            <w:hideMark/>
          </w:tcPr>
          <w:p w14:paraId="7707C476" w14:textId="5DD678B9" w:rsidR="00F27BEB" w:rsidRPr="00E879FA" w:rsidRDefault="00F27BEB" w:rsidP="00F27BEB">
            <w:pPr>
              <w:jc w:val="right"/>
              <w:rPr>
                <w:rFonts w:ascii="Times New Roman" w:eastAsia="Times New Roman" w:hAnsi="Times New Roman" w:cs="Times New Roman"/>
                <w:sz w:val="20"/>
                <w:szCs w:val="20"/>
                <w:lang w:val="en-US"/>
              </w:rPr>
            </w:pPr>
            <w:r w:rsidRPr="00205DBA">
              <w:rPr>
                <w:rFonts w:ascii="Times New Roman" w:hAnsi="Times New Roman" w:cs="Times New Roman"/>
                <w:sz w:val="20"/>
                <w:szCs w:val="20"/>
              </w:rPr>
              <w:t>767</w:t>
            </w:r>
          </w:p>
        </w:tc>
        <w:tc>
          <w:tcPr>
            <w:tcW w:w="1594" w:type="dxa"/>
            <w:noWrap/>
            <w:hideMark/>
          </w:tcPr>
          <w:p w14:paraId="0008E1CD" w14:textId="1B8C8C6A" w:rsidR="00F27BEB" w:rsidRPr="00E879FA" w:rsidRDefault="00F27BEB" w:rsidP="00F27BEB">
            <w:pPr>
              <w:jc w:val="center"/>
              <w:rPr>
                <w:rFonts w:ascii="Times New Roman" w:eastAsia="Times New Roman" w:hAnsi="Times New Roman" w:cs="Times New Roman"/>
                <w:sz w:val="20"/>
                <w:szCs w:val="20"/>
                <w:lang w:val="en-US"/>
              </w:rPr>
            </w:pPr>
            <w:r w:rsidRPr="00E879FA">
              <w:rPr>
                <w:rFonts w:ascii="Times New Roman" w:hAnsi="Times New Roman" w:cs="Times New Roman"/>
                <w:sz w:val="20"/>
                <w:szCs w:val="20"/>
              </w:rPr>
              <w:t>50%</w:t>
            </w:r>
          </w:p>
        </w:tc>
        <w:tc>
          <w:tcPr>
            <w:tcW w:w="1196" w:type="dxa"/>
            <w:noWrap/>
            <w:hideMark/>
          </w:tcPr>
          <w:p w14:paraId="6FCB1D8F" w14:textId="729BF69E" w:rsidR="00F27BEB" w:rsidRPr="00E879FA" w:rsidRDefault="00F27BEB" w:rsidP="00F27BEB">
            <w:pPr>
              <w:jc w:val="right"/>
              <w:rPr>
                <w:rFonts w:ascii="Times New Roman" w:eastAsia="Times New Roman" w:hAnsi="Times New Roman" w:cs="Times New Roman"/>
                <w:sz w:val="20"/>
                <w:szCs w:val="20"/>
                <w:lang w:val="en-US"/>
              </w:rPr>
            </w:pPr>
            <w:r w:rsidRPr="006B1E6F">
              <w:rPr>
                <w:rFonts w:ascii="Times New Roman" w:hAnsi="Times New Roman" w:cs="Times New Roman"/>
                <w:sz w:val="20"/>
                <w:szCs w:val="20"/>
              </w:rPr>
              <w:t>384</w:t>
            </w:r>
          </w:p>
        </w:tc>
      </w:tr>
      <w:tr w:rsidR="00F27BEB" w:rsidRPr="00B47F53" w14:paraId="417A0C44" w14:textId="77777777" w:rsidTr="000645BD">
        <w:trPr>
          <w:trHeight w:val="540"/>
        </w:trPr>
        <w:tc>
          <w:tcPr>
            <w:tcW w:w="4855" w:type="dxa"/>
            <w:hideMark/>
          </w:tcPr>
          <w:p w14:paraId="6C114912" w14:textId="4D48891B" w:rsidR="00F27BEB" w:rsidRPr="00B47F53" w:rsidRDefault="00F27BEB" w:rsidP="00F27BEB">
            <w:pPr>
              <w:jc w:val="both"/>
              <w:rPr>
                <w:rFonts w:ascii="Times New Roman" w:eastAsia="Times New Roman" w:hAnsi="Times New Roman" w:cs="Times New Roman"/>
                <w:sz w:val="20"/>
                <w:szCs w:val="20"/>
                <w:lang w:val="en-US"/>
              </w:rPr>
            </w:pPr>
            <w:r w:rsidRPr="00B47F53">
              <w:rPr>
                <w:rFonts w:ascii="Times New Roman" w:eastAsia="Times New Roman" w:hAnsi="Times New Roman" w:cs="Times New Roman"/>
                <w:sz w:val="20"/>
                <w:szCs w:val="20"/>
                <w:lang w:val="en-US"/>
              </w:rPr>
              <w:t xml:space="preserve">Retail exposures that fully comply with conditions set out in para 7.26 of the Capital Directive </w:t>
            </w:r>
          </w:p>
        </w:tc>
        <w:tc>
          <w:tcPr>
            <w:tcW w:w="1371" w:type="dxa"/>
            <w:hideMark/>
          </w:tcPr>
          <w:p w14:paraId="6E2D29BA" w14:textId="5C58749D" w:rsidR="00F27BEB" w:rsidRPr="00E879FA" w:rsidRDefault="00F27BEB" w:rsidP="00F27BEB">
            <w:pPr>
              <w:jc w:val="right"/>
              <w:rPr>
                <w:rFonts w:ascii="Times New Roman" w:eastAsia="Times New Roman" w:hAnsi="Times New Roman" w:cs="Times New Roman"/>
                <w:sz w:val="20"/>
                <w:szCs w:val="20"/>
                <w:lang w:val="en-US"/>
              </w:rPr>
            </w:pPr>
            <w:r w:rsidRPr="00205DBA">
              <w:rPr>
                <w:rFonts w:ascii="Times New Roman" w:hAnsi="Times New Roman" w:cs="Times New Roman"/>
                <w:sz w:val="20"/>
                <w:szCs w:val="20"/>
              </w:rPr>
              <w:t>1,583,773</w:t>
            </w:r>
          </w:p>
        </w:tc>
        <w:tc>
          <w:tcPr>
            <w:tcW w:w="1594" w:type="dxa"/>
            <w:noWrap/>
            <w:hideMark/>
          </w:tcPr>
          <w:p w14:paraId="55A6BDE1" w14:textId="31545B6F" w:rsidR="00F27BEB" w:rsidRPr="00E879FA" w:rsidRDefault="00F27BEB" w:rsidP="00F27BEB">
            <w:pPr>
              <w:jc w:val="center"/>
              <w:rPr>
                <w:rFonts w:ascii="Times New Roman" w:eastAsia="Times New Roman" w:hAnsi="Times New Roman" w:cs="Times New Roman"/>
                <w:sz w:val="20"/>
                <w:szCs w:val="20"/>
                <w:lang w:val="en-US"/>
              </w:rPr>
            </w:pPr>
            <w:r w:rsidRPr="00E879FA">
              <w:rPr>
                <w:rFonts w:ascii="Times New Roman" w:hAnsi="Times New Roman" w:cs="Times New Roman"/>
                <w:sz w:val="20"/>
                <w:szCs w:val="20"/>
              </w:rPr>
              <w:t>75%</w:t>
            </w:r>
          </w:p>
        </w:tc>
        <w:tc>
          <w:tcPr>
            <w:tcW w:w="1196" w:type="dxa"/>
            <w:noWrap/>
            <w:hideMark/>
          </w:tcPr>
          <w:p w14:paraId="78CF3D92" w14:textId="1A86624D" w:rsidR="00F27BEB" w:rsidRPr="00E879FA" w:rsidRDefault="00F27BEB" w:rsidP="00F27BEB">
            <w:pPr>
              <w:jc w:val="right"/>
              <w:rPr>
                <w:rFonts w:ascii="Times New Roman" w:eastAsia="Times New Roman" w:hAnsi="Times New Roman" w:cs="Times New Roman"/>
                <w:sz w:val="20"/>
                <w:szCs w:val="20"/>
                <w:lang w:val="en-US"/>
              </w:rPr>
            </w:pPr>
            <w:r w:rsidRPr="006B1E6F">
              <w:rPr>
                <w:rFonts w:ascii="Times New Roman" w:hAnsi="Times New Roman" w:cs="Times New Roman"/>
                <w:sz w:val="20"/>
                <w:szCs w:val="20"/>
              </w:rPr>
              <w:t>1,187,830</w:t>
            </w:r>
          </w:p>
        </w:tc>
      </w:tr>
      <w:tr w:rsidR="00F27BEB" w:rsidRPr="00B47F53" w14:paraId="027E2DEA" w14:textId="77777777" w:rsidTr="000645BD">
        <w:trPr>
          <w:trHeight w:val="300"/>
        </w:trPr>
        <w:tc>
          <w:tcPr>
            <w:tcW w:w="4855" w:type="dxa"/>
            <w:hideMark/>
          </w:tcPr>
          <w:p w14:paraId="02355ADC" w14:textId="77777777" w:rsidR="00F27BEB" w:rsidRPr="00B47F53" w:rsidRDefault="00F27BEB" w:rsidP="00F27BEB">
            <w:pPr>
              <w:jc w:val="both"/>
              <w:rPr>
                <w:rFonts w:ascii="Times New Roman" w:eastAsia="Times New Roman" w:hAnsi="Times New Roman" w:cs="Times New Roman"/>
                <w:sz w:val="20"/>
                <w:szCs w:val="20"/>
                <w:lang w:val="en-US"/>
              </w:rPr>
            </w:pPr>
            <w:r w:rsidRPr="00B47F53">
              <w:rPr>
                <w:rFonts w:ascii="Times New Roman" w:eastAsia="Times New Roman" w:hAnsi="Times New Roman" w:cs="Times New Roman"/>
                <w:sz w:val="20"/>
                <w:szCs w:val="20"/>
                <w:lang w:val="en-US"/>
              </w:rPr>
              <w:t>Retail exposures not complying with conditions referred to under above</w:t>
            </w:r>
          </w:p>
        </w:tc>
        <w:tc>
          <w:tcPr>
            <w:tcW w:w="1371" w:type="dxa"/>
            <w:hideMark/>
          </w:tcPr>
          <w:p w14:paraId="53EB4858" w14:textId="79E97EA9" w:rsidR="00F27BEB" w:rsidRPr="00E879FA" w:rsidRDefault="002F3AA5" w:rsidP="00F27BEB">
            <w:pPr>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594" w:type="dxa"/>
            <w:noWrap/>
            <w:hideMark/>
          </w:tcPr>
          <w:p w14:paraId="04432813" w14:textId="0D4B8BE8" w:rsidR="00F27BEB" w:rsidRPr="00E879FA" w:rsidRDefault="00F27BEB" w:rsidP="00F27BEB">
            <w:pPr>
              <w:jc w:val="center"/>
              <w:rPr>
                <w:rFonts w:ascii="Times New Roman" w:eastAsia="Times New Roman" w:hAnsi="Times New Roman" w:cs="Times New Roman"/>
                <w:sz w:val="20"/>
                <w:szCs w:val="20"/>
                <w:lang w:val="en-US"/>
              </w:rPr>
            </w:pPr>
            <w:r w:rsidRPr="00E879FA">
              <w:rPr>
                <w:rFonts w:ascii="Times New Roman" w:hAnsi="Times New Roman" w:cs="Times New Roman"/>
                <w:sz w:val="20"/>
                <w:szCs w:val="20"/>
              </w:rPr>
              <w:t>100%</w:t>
            </w:r>
          </w:p>
        </w:tc>
        <w:tc>
          <w:tcPr>
            <w:tcW w:w="1196" w:type="dxa"/>
            <w:noWrap/>
            <w:hideMark/>
          </w:tcPr>
          <w:p w14:paraId="1F650BB0" w14:textId="43434532" w:rsidR="00F27BEB" w:rsidRPr="00E879FA" w:rsidRDefault="002F3AA5" w:rsidP="00F27BEB">
            <w:pPr>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F27BEB" w:rsidRPr="00B47F53" w14:paraId="38AFC03C" w14:textId="77777777" w:rsidTr="000645BD">
        <w:trPr>
          <w:trHeight w:val="300"/>
        </w:trPr>
        <w:tc>
          <w:tcPr>
            <w:tcW w:w="4855" w:type="dxa"/>
            <w:hideMark/>
          </w:tcPr>
          <w:p w14:paraId="3DB42EB8" w14:textId="77777777" w:rsidR="00F27BEB" w:rsidRPr="00B47F53" w:rsidRDefault="00F27BEB" w:rsidP="00F27BEB">
            <w:pPr>
              <w:jc w:val="both"/>
              <w:rPr>
                <w:rFonts w:ascii="Times New Roman" w:eastAsia="Times New Roman" w:hAnsi="Times New Roman" w:cs="Times New Roman"/>
                <w:sz w:val="20"/>
                <w:szCs w:val="20"/>
                <w:lang w:val="en-US"/>
              </w:rPr>
            </w:pPr>
            <w:r w:rsidRPr="00B47F53">
              <w:rPr>
                <w:rFonts w:ascii="Times New Roman" w:eastAsia="Times New Roman" w:hAnsi="Times New Roman" w:cs="Times New Roman"/>
                <w:sz w:val="20"/>
                <w:szCs w:val="20"/>
                <w:lang w:val="en-US"/>
              </w:rPr>
              <w:t>Past due exposure where specific provision is less than 20% of the loan.</w:t>
            </w:r>
          </w:p>
        </w:tc>
        <w:tc>
          <w:tcPr>
            <w:tcW w:w="1371" w:type="dxa"/>
            <w:hideMark/>
          </w:tcPr>
          <w:p w14:paraId="447111FA" w14:textId="5DCF8896" w:rsidR="00F27BEB" w:rsidRPr="00E879FA" w:rsidRDefault="00F27BEB" w:rsidP="00F27BEB">
            <w:pPr>
              <w:jc w:val="right"/>
              <w:rPr>
                <w:rFonts w:ascii="Times New Roman" w:eastAsia="Times New Roman" w:hAnsi="Times New Roman" w:cs="Times New Roman"/>
                <w:sz w:val="20"/>
                <w:szCs w:val="20"/>
                <w:lang w:val="en-US"/>
              </w:rPr>
            </w:pPr>
            <w:r w:rsidRPr="00AC03CC">
              <w:rPr>
                <w:rFonts w:ascii="Times New Roman" w:hAnsi="Times New Roman" w:cs="Times New Roman"/>
                <w:sz w:val="20"/>
                <w:szCs w:val="20"/>
              </w:rPr>
              <w:t>2</w:t>
            </w:r>
          </w:p>
        </w:tc>
        <w:tc>
          <w:tcPr>
            <w:tcW w:w="1594" w:type="dxa"/>
            <w:noWrap/>
            <w:hideMark/>
          </w:tcPr>
          <w:p w14:paraId="40CB7917" w14:textId="5C5342CD" w:rsidR="00F27BEB" w:rsidRPr="00E879FA" w:rsidRDefault="00F27BEB" w:rsidP="00F27BEB">
            <w:pPr>
              <w:jc w:val="center"/>
              <w:rPr>
                <w:rFonts w:ascii="Times New Roman" w:eastAsia="Times New Roman" w:hAnsi="Times New Roman" w:cs="Times New Roman"/>
                <w:sz w:val="20"/>
                <w:szCs w:val="20"/>
                <w:lang w:val="en-US"/>
              </w:rPr>
            </w:pPr>
            <w:r w:rsidRPr="00E879FA">
              <w:rPr>
                <w:rFonts w:ascii="Times New Roman" w:hAnsi="Times New Roman" w:cs="Times New Roman"/>
                <w:sz w:val="20"/>
                <w:szCs w:val="20"/>
              </w:rPr>
              <w:t>150%</w:t>
            </w:r>
          </w:p>
        </w:tc>
        <w:tc>
          <w:tcPr>
            <w:tcW w:w="1196" w:type="dxa"/>
            <w:noWrap/>
            <w:hideMark/>
          </w:tcPr>
          <w:p w14:paraId="58F135F4" w14:textId="74D13ACF" w:rsidR="00F27BEB" w:rsidRPr="00E879FA" w:rsidRDefault="00F27BEB" w:rsidP="00F27BEB">
            <w:pPr>
              <w:jc w:val="right"/>
              <w:rPr>
                <w:rFonts w:ascii="Times New Roman" w:eastAsia="Times New Roman" w:hAnsi="Times New Roman" w:cs="Times New Roman"/>
                <w:sz w:val="20"/>
                <w:szCs w:val="20"/>
                <w:lang w:val="en-US"/>
              </w:rPr>
            </w:pPr>
            <w:r w:rsidRPr="006B1E6F">
              <w:rPr>
                <w:rFonts w:ascii="Times New Roman" w:hAnsi="Times New Roman" w:cs="Times New Roman"/>
                <w:sz w:val="20"/>
                <w:szCs w:val="20"/>
              </w:rPr>
              <w:t>2</w:t>
            </w:r>
          </w:p>
        </w:tc>
      </w:tr>
      <w:tr w:rsidR="00F27BEB" w:rsidRPr="00B47F53" w14:paraId="792C6EF5" w14:textId="77777777" w:rsidTr="000645BD">
        <w:trPr>
          <w:trHeight w:val="540"/>
        </w:trPr>
        <w:tc>
          <w:tcPr>
            <w:tcW w:w="4855" w:type="dxa"/>
            <w:hideMark/>
          </w:tcPr>
          <w:p w14:paraId="496E9B88" w14:textId="72C0C120" w:rsidR="00F27BEB" w:rsidRPr="00B47F53" w:rsidRDefault="00F27BEB" w:rsidP="00F27BEB">
            <w:pPr>
              <w:jc w:val="both"/>
              <w:rPr>
                <w:rFonts w:ascii="Times New Roman" w:eastAsia="Times New Roman" w:hAnsi="Times New Roman" w:cs="Times New Roman"/>
                <w:sz w:val="20"/>
                <w:szCs w:val="20"/>
                <w:lang w:val="en-US"/>
              </w:rPr>
            </w:pPr>
            <w:r w:rsidRPr="00B47F53">
              <w:rPr>
                <w:rFonts w:ascii="Times New Roman" w:eastAsia="Times New Roman" w:hAnsi="Times New Roman" w:cs="Times New Roman"/>
                <w:sz w:val="20"/>
                <w:szCs w:val="20"/>
                <w:lang w:val="en-US"/>
              </w:rPr>
              <w:t>Past due exposure where specific provision betwee</w:t>
            </w:r>
            <w:r>
              <w:rPr>
                <w:rFonts w:ascii="Times New Roman" w:eastAsia="Times New Roman" w:hAnsi="Times New Roman" w:cs="Times New Roman"/>
                <w:sz w:val="20"/>
                <w:szCs w:val="20"/>
                <w:lang w:val="en-US"/>
              </w:rPr>
              <w:t>n</w:t>
            </w:r>
            <w:r w:rsidRPr="00B47F53">
              <w:rPr>
                <w:rFonts w:ascii="Times New Roman" w:eastAsia="Times New Roman" w:hAnsi="Times New Roman" w:cs="Times New Roman"/>
                <w:sz w:val="20"/>
                <w:szCs w:val="20"/>
                <w:lang w:val="en-US"/>
              </w:rPr>
              <w:t xml:space="preserve"> 20% and 50% of outstanding amount of the loan. </w:t>
            </w:r>
          </w:p>
        </w:tc>
        <w:tc>
          <w:tcPr>
            <w:tcW w:w="1371" w:type="dxa"/>
            <w:hideMark/>
          </w:tcPr>
          <w:p w14:paraId="3351932A" w14:textId="6B9C3906" w:rsidR="00F27BEB" w:rsidRPr="00E879FA" w:rsidRDefault="002F3AA5" w:rsidP="00F27BEB">
            <w:pPr>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594" w:type="dxa"/>
            <w:noWrap/>
            <w:hideMark/>
          </w:tcPr>
          <w:p w14:paraId="5B87752B" w14:textId="36B60AD0" w:rsidR="00F27BEB" w:rsidRPr="00E879FA" w:rsidRDefault="00F27BEB" w:rsidP="00F27BEB">
            <w:pPr>
              <w:jc w:val="center"/>
              <w:rPr>
                <w:rFonts w:ascii="Times New Roman" w:eastAsia="Times New Roman" w:hAnsi="Times New Roman" w:cs="Times New Roman"/>
                <w:sz w:val="20"/>
                <w:szCs w:val="20"/>
                <w:lang w:val="en-US"/>
              </w:rPr>
            </w:pPr>
            <w:r w:rsidRPr="00E879FA">
              <w:rPr>
                <w:rFonts w:ascii="Times New Roman" w:hAnsi="Times New Roman" w:cs="Times New Roman"/>
                <w:sz w:val="20"/>
                <w:szCs w:val="20"/>
              </w:rPr>
              <w:t>100%</w:t>
            </w:r>
          </w:p>
        </w:tc>
        <w:tc>
          <w:tcPr>
            <w:tcW w:w="1196" w:type="dxa"/>
            <w:noWrap/>
            <w:hideMark/>
          </w:tcPr>
          <w:p w14:paraId="76A6D453" w14:textId="5812C6E7" w:rsidR="00F27BEB" w:rsidRPr="00E879FA" w:rsidRDefault="002F3AA5" w:rsidP="00F27BEB">
            <w:pPr>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F27BEB" w:rsidRPr="00B47F53" w14:paraId="0EFAD790" w14:textId="77777777" w:rsidTr="000645BD">
        <w:trPr>
          <w:trHeight w:val="540"/>
        </w:trPr>
        <w:tc>
          <w:tcPr>
            <w:tcW w:w="4855" w:type="dxa"/>
            <w:hideMark/>
          </w:tcPr>
          <w:p w14:paraId="38A9A21E" w14:textId="5E325DE2" w:rsidR="00F27BEB" w:rsidRPr="00B47F53" w:rsidRDefault="00F27BEB" w:rsidP="00F27BEB">
            <w:pPr>
              <w:jc w:val="both"/>
              <w:rPr>
                <w:rFonts w:ascii="Times New Roman" w:eastAsia="Times New Roman" w:hAnsi="Times New Roman" w:cs="Times New Roman"/>
                <w:sz w:val="20"/>
                <w:szCs w:val="20"/>
                <w:lang w:val="en-US"/>
              </w:rPr>
            </w:pPr>
            <w:r w:rsidRPr="00B47F53">
              <w:rPr>
                <w:rFonts w:ascii="Times New Roman" w:eastAsia="Times New Roman" w:hAnsi="Times New Roman" w:cs="Times New Roman"/>
                <w:sz w:val="20"/>
                <w:szCs w:val="20"/>
                <w:lang w:val="en-US"/>
              </w:rPr>
              <w:t>Past due exposure where specific provision is more than 50% of the outstanding loan.</w:t>
            </w:r>
          </w:p>
        </w:tc>
        <w:tc>
          <w:tcPr>
            <w:tcW w:w="1371" w:type="dxa"/>
            <w:hideMark/>
          </w:tcPr>
          <w:p w14:paraId="5EBD2F24" w14:textId="41415140" w:rsidR="00F27BEB" w:rsidRPr="00E879FA" w:rsidRDefault="00F27BEB" w:rsidP="00F27BEB">
            <w:pPr>
              <w:jc w:val="right"/>
              <w:rPr>
                <w:rFonts w:ascii="Times New Roman" w:eastAsia="Times New Roman" w:hAnsi="Times New Roman" w:cs="Times New Roman"/>
                <w:sz w:val="20"/>
                <w:szCs w:val="20"/>
                <w:lang w:val="en-US"/>
              </w:rPr>
            </w:pPr>
            <w:r w:rsidRPr="00AC03CC">
              <w:rPr>
                <w:rFonts w:ascii="Times New Roman" w:hAnsi="Times New Roman" w:cs="Times New Roman"/>
                <w:sz w:val="20"/>
                <w:szCs w:val="20"/>
              </w:rPr>
              <w:t>209</w:t>
            </w:r>
          </w:p>
        </w:tc>
        <w:tc>
          <w:tcPr>
            <w:tcW w:w="1594" w:type="dxa"/>
            <w:noWrap/>
            <w:hideMark/>
          </w:tcPr>
          <w:p w14:paraId="1AC6548B" w14:textId="74BC5EE6" w:rsidR="00F27BEB" w:rsidRPr="00E879FA" w:rsidRDefault="00F27BEB" w:rsidP="00F27BEB">
            <w:pPr>
              <w:jc w:val="center"/>
              <w:rPr>
                <w:rFonts w:ascii="Times New Roman" w:eastAsia="Times New Roman" w:hAnsi="Times New Roman" w:cs="Times New Roman"/>
                <w:sz w:val="20"/>
                <w:szCs w:val="20"/>
                <w:lang w:val="en-US"/>
              </w:rPr>
            </w:pPr>
            <w:r w:rsidRPr="00E879FA">
              <w:rPr>
                <w:rFonts w:ascii="Times New Roman" w:hAnsi="Times New Roman" w:cs="Times New Roman"/>
                <w:sz w:val="20"/>
                <w:szCs w:val="20"/>
              </w:rPr>
              <w:t>50%</w:t>
            </w:r>
          </w:p>
        </w:tc>
        <w:tc>
          <w:tcPr>
            <w:tcW w:w="1196" w:type="dxa"/>
            <w:noWrap/>
            <w:hideMark/>
          </w:tcPr>
          <w:p w14:paraId="45A61184" w14:textId="7B4A29B9" w:rsidR="00F27BEB" w:rsidRPr="00E879FA" w:rsidRDefault="00F27BEB" w:rsidP="00F27BEB">
            <w:pPr>
              <w:jc w:val="right"/>
              <w:rPr>
                <w:rFonts w:ascii="Times New Roman" w:eastAsia="Times New Roman" w:hAnsi="Times New Roman" w:cs="Times New Roman"/>
                <w:sz w:val="20"/>
                <w:szCs w:val="20"/>
                <w:lang w:val="en-US"/>
              </w:rPr>
            </w:pPr>
            <w:r w:rsidRPr="006B1E6F">
              <w:rPr>
                <w:rFonts w:ascii="Times New Roman" w:hAnsi="Times New Roman" w:cs="Times New Roman"/>
                <w:sz w:val="20"/>
                <w:szCs w:val="20"/>
              </w:rPr>
              <w:t>104</w:t>
            </w:r>
          </w:p>
        </w:tc>
      </w:tr>
      <w:tr w:rsidR="00F27BEB" w:rsidRPr="00B47F53" w14:paraId="105A5114" w14:textId="77777777" w:rsidTr="000645BD">
        <w:trPr>
          <w:trHeight w:val="540"/>
        </w:trPr>
        <w:tc>
          <w:tcPr>
            <w:tcW w:w="4855" w:type="dxa"/>
          </w:tcPr>
          <w:p w14:paraId="7259D9CB" w14:textId="02B5476D" w:rsidR="00F27BEB" w:rsidRPr="00B47F53" w:rsidRDefault="00F27BEB" w:rsidP="00F27BEB">
            <w:pPr>
              <w:jc w:val="both"/>
              <w:rPr>
                <w:rFonts w:ascii="Times New Roman" w:eastAsia="Times New Roman" w:hAnsi="Times New Roman" w:cs="Times New Roman"/>
                <w:sz w:val="20"/>
                <w:szCs w:val="20"/>
                <w:lang w:val="en-US"/>
              </w:rPr>
            </w:pPr>
            <w:r w:rsidRPr="00195FF2">
              <w:rPr>
                <w:rFonts w:ascii="Times New Roman" w:eastAsia="Times New Roman" w:hAnsi="Times New Roman" w:cs="Times New Roman"/>
                <w:sz w:val="20"/>
                <w:szCs w:val="20"/>
                <w:lang w:val="en-US"/>
              </w:rPr>
              <w:t>Other assets</w:t>
            </w:r>
          </w:p>
        </w:tc>
        <w:tc>
          <w:tcPr>
            <w:tcW w:w="1371" w:type="dxa"/>
          </w:tcPr>
          <w:p w14:paraId="7C0522F9" w14:textId="72941418" w:rsidR="00F27BEB" w:rsidRPr="00E879FA" w:rsidRDefault="00F27BEB" w:rsidP="00F27BEB">
            <w:pPr>
              <w:jc w:val="right"/>
              <w:rPr>
                <w:rFonts w:ascii="Times New Roman" w:eastAsia="Times New Roman" w:hAnsi="Times New Roman" w:cs="Times New Roman"/>
                <w:sz w:val="20"/>
                <w:szCs w:val="20"/>
                <w:lang w:val="en-US"/>
              </w:rPr>
            </w:pPr>
            <w:r w:rsidRPr="00AC03CC">
              <w:rPr>
                <w:rFonts w:ascii="Times New Roman" w:hAnsi="Times New Roman" w:cs="Times New Roman"/>
                <w:sz w:val="20"/>
                <w:szCs w:val="20"/>
              </w:rPr>
              <w:t>31,412</w:t>
            </w:r>
          </w:p>
        </w:tc>
        <w:tc>
          <w:tcPr>
            <w:tcW w:w="1594" w:type="dxa"/>
            <w:noWrap/>
          </w:tcPr>
          <w:p w14:paraId="6C1BAFC1" w14:textId="0E370DE3" w:rsidR="00F27BEB" w:rsidRPr="00E879FA" w:rsidRDefault="00F27BEB" w:rsidP="00F27BEB">
            <w:pPr>
              <w:jc w:val="center"/>
              <w:rPr>
                <w:rFonts w:ascii="Times New Roman" w:eastAsia="Times New Roman" w:hAnsi="Times New Roman" w:cs="Times New Roman"/>
                <w:sz w:val="20"/>
                <w:szCs w:val="20"/>
                <w:lang w:val="en-US"/>
              </w:rPr>
            </w:pPr>
            <w:r w:rsidRPr="00E879FA">
              <w:rPr>
                <w:rFonts w:ascii="Times New Roman" w:hAnsi="Times New Roman" w:cs="Times New Roman"/>
                <w:sz w:val="20"/>
                <w:szCs w:val="20"/>
              </w:rPr>
              <w:t>100%</w:t>
            </w:r>
          </w:p>
        </w:tc>
        <w:tc>
          <w:tcPr>
            <w:tcW w:w="1196" w:type="dxa"/>
            <w:noWrap/>
          </w:tcPr>
          <w:p w14:paraId="7D325E58" w14:textId="761CAD2F" w:rsidR="00F27BEB" w:rsidRPr="00E879FA" w:rsidRDefault="00F27BEB" w:rsidP="00F27BEB">
            <w:pPr>
              <w:jc w:val="right"/>
              <w:rPr>
                <w:rFonts w:ascii="Times New Roman" w:eastAsia="Times New Roman" w:hAnsi="Times New Roman" w:cs="Times New Roman"/>
                <w:sz w:val="20"/>
                <w:szCs w:val="20"/>
                <w:lang w:val="en-US"/>
              </w:rPr>
            </w:pPr>
            <w:r w:rsidRPr="006B1E6F">
              <w:rPr>
                <w:rFonts w:ascii="Times New Roman" w:hAnsi="Times New Roman" w:cs="Times New Roman"/>
                <w:sz w:val="20"/>
                <w:szCs w:val="20"/>
              </w:rPr>
              <w:t>31,412</w:t>
            </w:r>
          </w:p>
        </w:tc>
      </w:tr>
      <w:tr w:rsidR="00F27BEB" w:rsidRPr="00B47F53" w14:paraId="299A804B" w14:textId="77777777" w:rsidTr="000645BD">
        <w:trPr>
          <w:trHeight w:val="540"/>
        </w:trPr>
        <w:tc>
          <w:tcPr>
            <w:tcW w:w="4855" w:type="dxa"/>
          </w:tcPr>
          <w:p w14:paraId="4313216A" w14:textId="40291D96" w:rsidR="00F27BEB" w:rsidRPr="000813A6" w:rsidRDefault="00F27BEB" w:rsidP="00F27BEB">
            <w:pPr>
              <w:jc w:val="both"/>
              <w:rPr>
                <w:rFonts w:ascii="Times New Roman" w:eastAsia="Times New Roman" w:hAnsi="Times New Roman" w:cs="Times New Roman"/>
                <w:sz w:val="20"/>
                <w:szCs w:val="20"/>
                <w:lang w:val="en-US"/>
              </w:rPr>
            </w:pPr>
            <w:r w:rsidRPr="000813A6">
              <w:rPr>
                <w:rFonts w:ascii="Times New Roman" w:eastAsia="Times New Roman" w:hAnsi="Times New Roman" w:cs="Times New Roman"/>
                <w:sz w:val="20"/>
                <w:szCs w:val="20"/>
                <w:lang w:val="en-US"/>
              </w:rPr>
              <w:t>Property, plant and equipment</w:t>
            </w:r>
          </w:p>
        </w:tc>
        <w:tc>
          <w:tcPr>
            <w:tcW w:w="1371" w:type="dxa"/>
          </w:tcPr>
          <w:p w14:paraId="4FF5B2AD" w14:textId="3D0A4105" w:rsidR="00F27BEB" w:rsidRPr="00E879FA" w:rsidRDefault="00F27BEB" w:rsidP="00F27BEB">
            <w:pPr>
              <w:jc w:val="right"/>
              <w:rPr>
                <w:rFonts w:ascii="Times New Roman" w:eastAsia="Times New Roman" w:hAnsi="Times New Roman" w:cs="Times New Roman"/>
                <w:sz w:val="20"/>
                <w:szCs w:val="20"/>
                <w:lang w:val="en-US"/>
              </w:rPr>
            </w:pPr>
            <w:r w:rsidRPr="00AC03CC">
              <w:rPr>
                <w:rFonts w:ascii="Times New Roman" w:hAnsi="Times New Roman" w:cs="Times New Roman"/>
                <w:sz w:val="20"/>
                <w:szCs w:val="20"/>
              </w:rPr>
              <w:t>71,893</w:t>
            </w:r>
          </w:p>
        </w:tc>
        <w:tc>
          <w:tcPr>
            <w:tcW w:w="1594" w:type="dxa"/>
            <w:noWrap/>
          </w:tcPr>
          <w:p w14:paraId="1FD48884" w14:textId="6CFA34FE" w:rsidR="00F27BEB" w:rsidRPr="00E879FA" w:rsidRDefault="00F27BEB" w:rsidP="00F27BEB">
            <w:pPr>
              <w:jc w:val="center"/>
              <w:rPr>
                <w:rFonts w:ascii="Times New Roman" w:eastAsia="Times New Roman" w:hAnsi="Times New Roman" w:cs="Times New Roman"/>
                <w:sz w:val="20"/>
                <w:szCs w:val="20"/>
                <w:lang w:val="en-US"/>
              </w:rPr>
            </w:pPr>
            <w:r w:rsidRPr="00E879FA">
              <w:rPr>
                <w:rFonts w:ascii="Times New Roman" w:hAnsi="Times New Roman" w:cs="Times New Roman"/>
                <w:sz w:val="20"/>
                <w:szCs w:val="20"/>
              </w:rPr>
              <w:t>100%</w:t>
            </w:r>
          </w:p>
        </w:tc>
        <w:tc>
          <w:tcPr>
            <w:tcW w:w="1196" w:type="dxa"/>
            <w:noWrap/>
          </w:tcPr>
          <w:p w14:paraId="3785F87C" w14:textId="6F827FD9" w:rsidR="00F27BEB" w:rsidRPr="00E879FA" w:rsidRDefault="00F27BEB" w:rsidP="00F27BEB">
            <w:pPr>
              <w:jc w:val="right"/>
              <w:rPr>
                <w:rFonts w:ascii="Times New Roman" w:eastAsia="Times New Roman" w:hAnsi="Times New Roman" w:cs="Times New Roman"/>
                <w:sz w:val="20"/>
                <w:szCs w:val="20"/>
                <w:lang w:val="en-US"/>
              </w:rPr>
            </w:pPr>
            <w:r w:rsidRPr="006B1E6F">
              <w:rPr>
                <w:rFonts w:ascii="Times New Roman" w:hAnsi="Times New Roman" w:cs="Times New Roman"/>
                <w:sz w:val="20"/>
                <w:szCs w:val="20"/>
              </w:rPr>
              <w:t>71,893</w:t>
            </w:r>
          </w:p>
        </w:tc>
      </w:tr>
      <w:tr w:rsidR="00F27BEB" w:rsidRPr="00B47F53" w14:paraId="1B210EFF" w14:textId="77777777" w:rsidTr="000645BD">
        <w:trPr>
          <w:trHeight w:val="300"/>
        </w:trPr>
        <w:tc>
          <w:tcPr>
            <w:tcW w:w="4855" w:type="dxa"/>
            <w:hideMark/>
          </w:tcPr>
          <w:p w14:paraId="482C6449" w14:textId="77777777" w:rsidR="00F27BEB" w:rsidRPr="000813A6" w:rsidRDefault="00F27BEB" w:rsidP="00F27BEB">
            <w:pPr>
              <w:rPr>
                <w:rFonts w:ascii="Times New Roman" w:eastAsia="Times New Roman" w:hAnsi="Times New Roman" w:cs="Times New Roman"/>
                <w:b/>
                <w:bCs/>
                <w:sz w:val="20"/>
                <w:szCs w:val="20"/>
                <w:lang w:val="en-US"/>
              </w:rPr>
            </w:pPr>
            <w:r w:rsidRPr="000813A6">
              <w:rPr>
                <w:rFonts w:ascii="Times New Roman" w:eastAsia="Times New Roman" w:hAnsi="Times New Roman" w:cs="Times New Roman"/>
                <w:b/>
                <w:bCs/>
                <w:sz w:val="20"/>
                <w:szCs w:val="20"/>
                <w:lang w:val="en-US"/>
              </w:rPr>
              <w:t>Total On-Balance Sheet Exposures</w:t>
            </w:r>
          </w:p>
        </w:tc>
        <w:tc>
          <w:tcPr>
            <w:tcW w:w="1371" w:type="dxa"/>
            <w:hideMark/>
          </w:tcPr>
          <w:p w14:paraId="6A102E77" w14:textId="233D3053" w:rsidR="00F27BEB" w:rsidRPr="00E879FA" w:rsidRDefault="00F27BEB" w:rsidP="00F27BEB">
            <w:pPr>
              <w:jc w:val="right"/>
              <w:rPr>
                <w:rFonts w:ascii="Times New Roman" w:eastAsia="Times New Roman" w:hAnsi="Times New Roman" w:cs="Times New Roman"/>
                <w:b/>
                <w:bCs/>
                <w:sz w:val="20"/>
                <w:szCs w:val="20"/>
                <w:lang w:val="en-US"/>
              </w:rPr>
            </w:pPr>
            <w:r w:rsidRPr="00AC03CC">
              <w:rPr>
                <w:rFonts w:ascii="Times New Roman" w:eastAsia="Times New Roman" w:hAnsi="Times New Roman" w:cs="Times New Roman"/>
                <w:b/>
                <w:bCs/>
                <w:sz w:val="20"/>
                <w:szCs w:val="20"/>
                <w:lang w:val="en-US"/>
              </w:rPr>
              <w:t>4,389,331</w:t>
            </w:r>
          </w:p>
        </w:tc>
        <w:tc>
          <w:tcPr>
            <w:tcW w:w="1594" w:type="dxa"/>
            <w:noWrap/>
            <w:hideMark/>
          </w:tcPr>
          <w:p w14:paraId="09D3854B" w14:textId="16EEBCB1" w:rsidR="00F27BEB" w:rsidRPr="00E879FA" w:rsidRDefault="00F27BEB" w:rsidP="00F27BEB">
            <w:pPr>
              <w:jc w:val="center"/>
              <w:rPr>
                <w:rFonts w:ascii="Times New Roman" w:eastAsia="Times New Roman" w:hAnsi="Times New Roman" w:cs="Times New Roman"/>
                <w:b/>
                <w:bCs/>
                <w:sz w:val="20"/>
                <w:szCs w:val="20"/>
                <w:lang w:val="en-US"/>
              </w:rPr>
            </w:pPr>
          </w:p>
        </w:tc>
        <w:tc>
          <w:tcPr>
            <w:tcW w:w="1196" w:type="dxa"/>
            <w:noWrap/>
            <w:hideMark/>
          </w:tcPr>
          <w:p w14:paraId="12AD3D9B" w14:textId="6B2273D1" w:rsidR="00F27BEB" w:rsidRPr="00E879FA" w:rsidRDefault="00F27BEB" w:rsidP="00F27BEB">
            <w:pPr>
              <w:jc w:val="right"/>
              <w:rPr>
                <w:rFonts w:ascii="Times New Roman" w:eastAsia="Times New Roman" w:hAnsi="Times New Roman" w:cs="Times New Roman"/>
                <w:b/>
                <w:bCs/>
                <w:sz w:val="20"/>
                <w:szCs w:val="20"/>
                <w:lang w:val="en-US"/>
              </w:rPr>
            </w:pPr>
            <w:r w:rsidRPr="006B1E6F">
              <w:rPr>
                <w:rFonts w:ascii="Times New Roman" w:hAnsi="Times New Roman" w:cs="Times New Roman"/>
                <w:b/>
                <w:bCs/>
                <w:sz w:val="20"/>
                <w:szCs w:val="20"/>
              </w:rPr>
              <w:t>3,292,559</w:t>
            </w:r>
          </w:p>
        </w:tc>
      </w:tr>
      <w:tr w:rsidR="00F27BEB" w:rsidRPr="00B47F53" w14:paraId="7F3402A6" w14:textId="77777777" w:rsidTr="000645BD">
        <w:trPr>
          <w:trHeight w:val="300"/>
        </w:trPr>
        <w:tc>
          <w:tcPr>
            <w:tcW w:w="4855" w:type="dxa"/>
          </w:tcPr>
          <w:p w14:paraId="05AAD0D4" w14:textId="77777777" w:rsidR="00F27BEB" w:rsidRPr="000813A6" w:rsidRDefault="00F27BEB" w:rsidP="00F27BEB">
            <w:pPr>
              <w:rPr>
                <w:rFonts w:ascii="Times New Roman" w:eastAsia="Times New Roman" w:hAnsi="Times New Roman" w:cs="Times New Roman"/>
                <w:b/>
                <w:bCs/>
                <w:sz w:val="20"/>
                <w:szCs w:val="20"/>
                <w:lang w:val="en-US"/>
              </w:rPr>
            </w:pPr>
          </w:p>
        </w:tc>
        <w:tc>
          <w:tcPr>
            <w:tcW w:w="1371" w:type="dxa"/>
          </w:tcPr>
          <w:p w14:paraId="051A130F" w14:textId="77777777" w:rsidR="00F27BEB" w:rsidRPr="000813A6" w:rsidRDefault="00F27BEB" w:rsidP="00F27BEB">
            <w:pPr>
              <w:jc w:val="right"/>
              <w:rPr>
                <w:rFonts w:ascii="Times New Roman" w:eastAsia="Times New Roman" w:hAnsi="Times New Roman" w:cs="Times New Roman"/>
                <w:b/>
                <w:bCs/>
                <w:sz w:val="20"/>
                <w:szCs w:val="20"/>
                <w:lang w:val="en-US"/>
              </w:rPr>
            </w:pPr>
          </w:p>
        </w:tc>
        <w:tc>
          <w:tcPr>
            <w:tcW w:w="1594" w:type="dxa"/>
            <w:noWrap/>
          </w:tcPr>
          <w:p w14:paraId="5459E936" w14:textId="77777777" w:rsidR="00F27BEB" w:rsidRPr="000813A6" w:rsidRDefault="00F27BEB" w:rsidP="00F27BEB">
            <w:pPr>
              <w:jc w:val="center"/>
              <w:rPr>
                <w:rFonts w:ascii="Times New Roman" w:eastAsia="Times New Roman" w:hAnsi="Times New Roman" w:cs="Times New Roman"/>
                <w:b/>
                <w:bCs/>
                <w:sz w:val="20"/>
                <w:szCs w:val="20"/>
                <w:lang w:val="en-US"/>
              </w:rPr>
            </w:pPr>
          </w:p>
        </w:tc>
        <w:tc>
          <w:tcPr>
            <w:tcW w:w="1196" w:type="dxa"/>
            <w:noWrap/>
          </w:tcPr>
          <w:p w14:paraId="18549064" w14:textId="77777777" w:rsidR="00F27BEB" w:rsidRPr="000813A6" w:rsidRDefault="00F27BEB" w:rsidP="00F27BEB">
            <w:pPr>
              <w:jc w:val="right"/>
              <w:rPr>
                <w:rFonts w:ascii="Times New Roman" w:eastAsia="Times New Roman" w:hAnsi="Times New Roman" w:cs="Times New Roman"/>
                <w:b/>
                <w:bCs/>
                <w:sz w:val="20"/>
                <w:szCs w:val="20"/>
                <w:lang w:val="en-US"/>
              </w:rPr>
            </w:pPr>
          </w:p>
        </w:tc>
      </w:tr>
      <w:tr w:rsidR="00F27BEB" w:rsidRPr="000645BD" w14:paraId="1355EA6A" w14:textId="77777777" w:rsidTr="000645BD">
        <w:trPr>
          <w:trHeight w:val="300"/>
        </w:trPr>
        <w:tc>
          <w:tcPr>
            <w:tcW w:w="4855" w:type="dxa"/>
            <w:hideMark/>
          </w:tcPr>
          <w:p w14:paraId="04007CEE" w14:textId="77777777" w:rsidR="00F27BEB" w:rsidRPr="000813A6" w:rsidRDefault="00F27BEB" w:rsidP="00F27BEB">
            <w:pPr>
              <w:rPr>
                <w:rFonts w:ascii="Times New Roman" w:eastAsia="Times New Roman" w:hAnsi="Times New Roman" w:cs="Times New Roman"/>
                <w:b/>
                <w:bCs/>
                <w:sz w:val="20"/>
                <w:szCs w:val="20"/>
              </w:rPr>
            </w:pPr>
            <w:r w:rsidRPr="000813A6">
              <w:rPr>
                <w:rFonts w:ascii="Times New Roman" w:eastAsia="Times New Roman" w:hAnsi="Times New Roman" w:cs="Times New Roman"/>
                <w:b/>
                <w:bCs/>
                <w:sz w:val="20"/>
                <w:szCs w:val="20"/>
              </w:rPr>
              <w:t>Off-Balance Sheet Exposures</w:t>
            </w:r>
          </w:p>
        </w:tc>
        <w:tc>
          <w:tcPr>
            <w:tcW w:w="1371" w:type="dxa"/>
            <w:hideMark/>
          </w:tcPr>
          <w:p w14:paraId="21C55D0D" w14:textId="77777777" w:rsidR="00F27BEB" w:rsidRPr="000813A6" w:rsidRDefault="00F27BEB" w:rsidP="00F27BEB">
            <w:pPr>
              <w:jc w:val="right"/>
              <w:rPr>
                <w:rFonts w:ascii="Times New Roman" w:eastAsia="Times New Roman" w:hAnsi="Times New Roman" w:cs="Times New Roman"/>
                <w:b/>
                <w:bCs/>
                <w:sz w:val="20"/>
                <w:szCs w:val="20"/>
              </w:rPr>
            </w:pPr>
            <w:r w:rsidRPr="000813A6">
              <w:rPr>
                <w:rFonts w:ascii="Times New Roman" w:eastAsia="Times New Roman" w:hAnsi="Times New Roman" w:cs="Times New Roman"/>
                <w:b/>
                <w:bCs/>
                <w:sz w:val="20"/>
                <w:szCs w:val="20"/>
              </w:rPr>
              <w:t> </w:t>
            </w:r>
          </w:p>
        </w:tc>
        <w:tc>
          <w:tcPr>
            <w:tcW w:w="1594" w:type="dxa"/>
            <w:noWrap/>
            <w:hideMark/>
          </w:tcPr>
          <w:p w14:paraId="2B8F841B" w14:textId="77777777" w:rsidR="00F27BEB" w:rsidRPr="000813A6" w:rsidRDefault="00F27BEB" w:rsidP="00F27BEB">
            <w:pPr>
              <w:jc w:val="center"/>
              <w:rPr>
                <w:rFonts w:ascii="Times New Roman" w:eastAsia="Times New Roman" w:hAnsi="Times New Roman" w:cs="Times New Roman"/>
                <w:b/>
                <w:bCs/>
                <w:sz w:val="20"/>
                <w:szCs w:val="20"/>
              </w:rPr>
            </w:pPr>
            <w:r w:rsidRPr="000813A6">
              <w:rPr>
                <w:rFonts w:ascii="Times New Roman" w:eastAsia="Times New Roman" w:hAnsi="Times New Roman" w:cs="Times New Roman"/>
                <w:b/>
                <w:bCs/>
                <w:sz w:val="20"/>
                <w:szCs w:val="20"/>
              </w:rPr>
              <w:t> </w:t>
            </w:r>
          </w:p>
        </w:tc>
        <w:tc>
          <w:tcPr>
            <w:tcW w:w="1196" w:type="dxa"/>
            <w:noWrap/>
            <w:hideMark/>
          </w:tcPr>
          <w:p w14:paraId="3BCBC51E" w14:textId="77777777" w:rsidR="00F27BEB" w:rsidRPr="000813A6" w:rsidRDefault="00F27BEB" w:rsidP="00F27BEB">
            <w:pPr>
              <w:jc w:val="right"/>
              <w:rPr>
                <w:rFonts w:ascii="Times New Roman" w:eastAsia="Times New Roman" w:hAnsi="Times New Roman" w:cs="Times New Roman"/>
                <w:b/>
                <w:bCs/>
                <w:sz w:val="20"/>
                <w:szCs w:val="20"/>
              </w:rPr>
            </w:pPr>
            <w:r w:rsidRPr="000813A6">
              <w:rPr>
                <w:rFonts w:ascii="Times New Roman" w:eastAsia="Times New Roman" w:hAnsi="Times New Roman" w:cs="Times New Roman"/>
                <w:b/>
                <w:bCs/>
                <w:sz w:val="20"/>
                <w:szCs w:val="20"/>
              </w:rPr>
              <w:t> </w:t>
            </w:r>
          </w:p>
        </w:tc>
      </w:tr>
      <w:tr w:rsidR="00F27BEB" w:rsidRPr="000645BD" w14:paraId="429A7F23" w14:textId="77777777" w:rsidTr="00ED66C0">
        <w:trPr>
          <w:trHeight w:val="570"/>
        </w:trPr>
        <w:tc>
          <w:tcPr>
            <w:tcW w:w="4855" w:type="dxa"/>
            <w:noWrap/>
            <w:hideMark/>
          </w:tcPr>
          <w:p w14:paraId="620EA82B" w14:textId="77777777" w:rsidR="00F27BEB" w:rsidRPr="000813A6" w:rsidRDefault="00F27BEB" w:rsidP="00F27BEB">
            <w:pPr>
              <w:jc w:val="both"/>
              <w:rPr>
                <w:rFonts w:ascii="Times New Roman" w:eastAsia="Times New Roman" w:hAnsi="Times New Roman" w:cs="Times New Roman"/>
                <w:color w:val="000000"/>
                <w:sz w:val="20"/>
                <w:szCs w:val="20"/>
              </w:rPr>
            </w:pPr>
            <w:r w:rsidRPr="000813A6">
              <w:rPr>
                <w:rFonts w:ascii="Times New Roman" w:eastAsia="Times New Roman" w:hAnsi="Times New Roman" w:cs="Times New Roman"/>
                <w:color w:val="000000"/>
                <w:sz w:val="20"/>
                <w:szCs w:val="20"/>
              </w:rPr>
              <w:t>Commitments – Original maturity up to 1 year</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65448" w14:textId="5068C59B" w:rsidR="00F27BEB" w:rsidRPr="00534F3A" w:rsidRDefault="00F27BEB" w:rsidP="00F27BEB">
            <w:pPr>
              <w:jc w:val="right"/>
              <w:rPr>
                <w:rFonts w:ascii="Times New Roman" w:eastAsia="Times New Roman" w:hAnsi="Times New Roman" w:cs="Times New Roman"/>
                <w:color w:val="000000"/>
                <w:sz w:val="20"/>
                <w:szCs w:val="20"/>
              </w:rPr>
            </w:pPr>
            <w:r w:rsidRPr="006B1E6F">
              <w:rPr>
                <w:rFonts w:ascii="Times New Roman" w:hAnsi="Times New Roman" w:cs="Times New Roman"/>
                <w:color w:val="000000"/>
                <w:sz w:val="20"/>
                <w:szCs w:val="20"/>
              </w:rPr>
              <w:t>61,770</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14:paraId="75EC461D" w14:textId="4DC0950F" w:rsidR="00F27BEB" w:rsidRPr="00534F3A" w:rsidRDefault="00F27BEB" w:rsidP="00F27BEB">
            <w:pPr>
              <w:jc w:val="center"/>
              <w:rPr>
                <w:rFonts w:ascii="Times New Roman" w:eastAsia="Times New Roman" w:hAnsi="Times New Roman" w:cs="Times New Roman"/>
                <w:color w:val="000000"/>
                <w:sz w:val="20"/>
                <w:szCs w:val="20"/>
              </w:rPr>
            </w:pPr>
            <w:r w:rsidRPr="00534F3A">
              <w:rPr>
                <w:rFonts w:ascii="Times New Roman" w:hAnsi="Times New Roman" w:cs="Times New Roman"/>
                <w:color w:val="000000"/>
                <w:sz w:val="20"/>
                <w:szCs w:val="20"/>
              </w:rPr>
              <w:t>20%</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044ABF53" w14:textId="45C1AF0F" w:rsidR="00F27BEB" w:rsidRPr="00534F3A" w:rsidRDefault="00F27BEB" w:rsidP="00F27BEB">
            <w:pPr>
              <w:jc w:val="right"/>
              <w:rPr>
                <w:rFonts w:ascii="Times New Roman" w:eastAsia="Times New Roman" w:hAnsi="Times New Roman" w:cs="Times New Roman"/>
                <w:color w:val="000000"/>
                <w:sz w:val="20"/>
                <w:szCs w:val="20"/>
              </w:rPr>
            </w:pPr>
            <w:r w:rsidRPr="006B1E6F">
              <w:rPr>
                <w:rFonts w:ascii="Times New Roman" w:hAnsi="Times New Roman" w:cs="Times New Roman"/>
                <w:color w:val="000000"/>
                <w:sz w:val="20"/>
                <w:szCs w:val="20"/>
              </w:rPr>
              <w:t>12,354</w:t>
            </w:r>
          </w:p>
        </w:tc>
      </w:tr>
      <w:tr w:rsidR="00F27BEB" w:rsidRPr="000645BD" w14:paraId="1BC4B16A" w14:textId="77777777" w:rsidTr="00ED66C0">
        <w:trPr>
          <w:trHeight w:val="300"/>
        </w:trPr>
        <w:tc>
          <w:tcPr>
            <w:tcW w:w="4855" w:type="dxa"/>
            <w:noWrap/>
            <w:hideMark/>
          </w:tcPr>
          <w:p w14:paraId="3C0C2D18" w14:textId="77777777" w:rsidR="00F27BEB" w:rsidRPr="000813A6" w:rsidRDefault="00F27BEB" w:rsidP="00F27BEB">
            <w:pPr>
              <w:jc w:val="both"/>
              <w:rPr>
                <w:rFonts w:ascii="Times New Roman" w:eastAsia="Times New Roman" w:hAnsi="Times New Roman" w:cs="Times New Roman"/>
                <w:color w:val="000000"/>
                <w:sz w:val="20"/>
                <w:szCs w:val="20"/>
              </w:rPr>
            </w:pPr>
            <w:r w:rsidRPr="000813A6">
              <w:rPr>
                <w:rFonts w:ascii="Times New Roman" w:eastAsia="Times New Roman" w:hAnsi="Times New Roman" w:cs="Times New Roman"/>
                <w:color w:val="000000"/>
                <w:sz w:val="20"/>
                <w:szCs w:val="20"/>
              </w:rPr>
              <w:t>Commitments – Direct credit substitute</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14:paraId="3A2AC138" w14:textId="4DD6EBB2" w:rsidR="00F27BEB" w:rsidRPr="00534F3A" w:rsidRDefault="00F27BEB" w:rsidP="00F27BEB">
            <w:pPr>
              <w:jc w:val="right"/>
              <w:rPr>
                <w:rFonts w:ascii="Times New Roman" w:eastAsia="Times New Roman" w:hAnsi="Times New Roman" w:cs="Times New Roman"/>
                <w:color w:val="000000"/>
                <w:sz w:val="20"/>
                <w:szCs w:val="20"/>
              </w:rPr>
            </w:pPr>
            <w:r w:rsidRPr="006B1E6F">
              <w:rPr>
                <w:rFonts w:ascii="Times New Roman" w:hAnsi="Times New Roman" w:cs="Times New Roman"/>
                <w:color w:val="000000"/>
                <w:sz w:val="20"/>
                <w:szCs w:val="20"/>
              </w:rPr>
              <w:t>38,255</w:t>
            </w:r>
          </w:p>
        </w:tc>
        <w:tc>
          <w:tcPr>
            <w:tcW w:w="1594" w:type="dxa"/>
            <w:tcBorders>
              <w:top w:val="nil"/>
              <w:left w:val="nil"/>
              <w:bottom w:val="single" w:sz="4" w:space="0" w:color="auto"/>
              <w:right w:val="single" w:sz="4" w:space="0" w:color="auto"/>
            </w:tcBorders>
            <w:shd w:val="clear" w:color="auto" w:fill="auto"/>
            <w:noWrap/>
            <w:vAlign w:val="center"/>
            <w:hideMark/>
          </w:tcPr>
          <w:p w14:paraId="15435079" w14:textId="4055C057" w:rsidR="00F27BEB" w:rsidRPr="00534F3A" w:rsidRDefault="00F27BEB" w:rsidP="00F27BEB">
            <w:pPr>
              <w:jc w:val="center"/>
              <w:rPr>
                <w:rFonts w:ascii="Times New Roman" w:eastAsia="Times New Roman" w:hAnsi="Times New Roman" w:cs="Times New Roman"/>
                <w:color w:val="000000"/>
                <w:sz w:val="20"/>
                <w:szCs w:val="20"/>
              </w:rPr>
            </w:pPr>
            <w:r w:rsidRPr="00534F3A">
              <w:rPr>
                <w:rFonts w:ascii="Times New Roman" w:hAnsi="Times New Roman" w:cs="Times New Roman"/>
                <w:color w:val="000000"/>
                <w:sz w:val="20"/>
                <w:szCs w:val="20"/>
              </w:rPr>
              <w:t>100%</w:t>
            </w:r>
          </w:p>
        </w:tc>
        <w:tc>
          <w:tcPr>
            <w:tcW w:w="1196" w:type="dxa"/>
            <w:tcBorders>
              <w:top w:val="nil"/>
              <w:left w:val="nil"/>
              <w:bottom w:val="single" w:sz="4" w:space="0" w:color="auto"/>
              <w:right w:val="single" w:sz="4" w:space="0" w:color="auto"/>
            </w:tcBorders>
            <w:shd w:val="clear" w:color="auto" w:fill="auto"/>
            <w:noWrap/>
            <w:vAlign w:val="center"/>
            <w:hideMark/>
          </w:tcPr>
          <w:p w14:paraId="5272DE3D" w14:textId="156BA322" w:rsidR="00F27BEB" w:rsidRPr="00534F3A" w:rsidRDefault="00F27BEB" w:rsidP="00F27BEB">
            <w:pPr>
              <w:jc w:val="right"/>
              <w:rPr>
                <w:rFonts w:ascii="Times New Roman" w:eastAsia="Times New Roman" w:hAnsi="Times New Roman" w:cs="Times New Roman"/>
                <w:color w:val="000000"/>
                <w:sz w:val="20"/>
                <w:szCs w:val="20"/>
              </w:rPr>
            </w:pPr>
            <w:r w:rsidRPr="006B1E6F">
              <w:rPr>
                <w:rFonts w:ascii="Times New Roman" w:hAnsi="Times New Roman" w:cs="Times New Roman"/>
                <w:color w:val="000000"/>
                <w:sz w:val="20"/>
                <w:szCs w:val="20"/>
              </w:rPr>
              <w:t>38,255</w:t>
            </w:r>
          </w:p>
        </w:tc>
      </w:tr>
      <w:tr w:rsidR="00F27BEB" w:rsidRPr="000645BD" w14:paraId="12589169" w14:textId="77777777" w:rsidTr="00ED66C0">
        <w:trPr>
          <w:trHeight w:val="300"/>
        </w:trPr>
        <w:tc>
          <w:tcPr>
            <w:tcW w:w="4855" w:type="dxa"/>
            <w:noWrap/>
            <w:hideMark/>
          </w:tcPr>
          <w:p w14:paraId="63D6EE85" w14:textId="77777777" w:rsidR="00F27BEB" w:rsidRPr="000813A6" w:rsidRDefault="00F27BEB" w:rsidP="00F27BEB">
            <w:pPr>
              <w:jc w:val="both"/>
              <w:rPr>
                <w:rFonts w:ascii="Times New Roman" w:eastAsia="Times New Roman" w:hAnsi="Times New Roman" w:cs="Times New Roman"/>
                <w:color w:val="000000"/>
                <w:sz w:val="20"/>
                <w:szCs w:val="20"/>
              </w:rPr>
            </w:pPr>
            <w:r w:rsidRPr="000813A6">
              <w:rPr>
                <w:rFonts w:ascii="Times New Roman" w:eastAsia="Times New Roman" w:hAnsi="Times New Roman" w:cs="Times New Roman"/>
                <w:color w:val="000000"/>
                <w:sz w:val="20"/>
                <w:szCs w:val="20"/>
              </w:rPr>
              <w:t>Performance and bid bonds</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14:paraId="47895B4D" w14:textId="4FF02F82" w:rsidR="00F27BEB" w:rsidRPr="00534F3A" w:rsidRDefault="00F27BEB" w:rsidP="00F27BEB">
            <w:pPr>
              <w:jc w:val="right"/>
              <w:rPr>
                <w:rFonts w:ascii="Times New Roman" w:eastAsia="Times New Roman" w:hAnsi="Times New Roman" w:cs="Times New Roman"/>
                <w:color w:val="000000"/>
                <w:sz w:val="20"/>
                <w:szCs w:val="20"/>
              </w:rPr>
            </w:pPr>
            <w:r w:rsidRPr="006B1E6F">
              <w:rPr>
                <w:rFonts w:ascii="Times New Roman" w:hAnsi="Times New Roman" w:cs="Times New Roman"/>
                <w:color w:val="000000"/>
                <w:sz w:val="20"/>
                <w:szCs w:val="20"/>
              </w:rPr>
              <w:t>94,309</w:t>
            </w:r>
          </w:p>
        </w:tc>
        <w:tc>
          <w:tcPr>
            <w:tcW w:w="1594" w:type="dxa"/>
            <w:tcBorders>
              <w:top w:val="nil"/>
              <w:left w:val="nil"/>
              <w:bottom w:val="single" w:sz="4" w:space="0" w:color="auto"/>
              <w:right w:val="single" w:sz="4" w:space="0" w:color="auto"/>
            </w:tcBorders>
            <w:shd w:val="clear" w:color="auto" w:fill="auto"/>
            <w:noWrap/>
            <w:vAlign w:val="center"/>
            <w:hideMark/>
          </w:tcPr>
          <w:p w14:paraId="7B8083E4" w14:textId="5387C306" w:rsidR="00F27BEB" w:rsidRPr="00534F3A" w:rsidRDefault="00F27BEB" w:rsidP="00F27BEB">
            <w:pPr>
              <w:jc w:val="center"/>
              <w:rPr>
                <w:rFonts w:ascii="Times New Roman" w:eastAsia="Times New Roman" w:hAnsi="Times New Roman" w:cs="Times New Roman"/>
                <w:color w:val="000000"/>
                <w:sz w:val="20"/>
                <w:szCs w:val="20"/>
              </w:rPr>
            </w:pPr>
            <w:r w:rsidRPr="00534F3A">
              <w:rPr>
                <w:rFonts w:ascii="Times New Roman" w:hAnsi="Times New Roman" w:cs="Times New Roman"/>
                <w:color w:val="000000"/>
                <w:sz w:val="20"/>
                <w:szCs w:val="20"/>
              </w:rPr>
              <w:t>0%</w:t>
            </w:r>
          </w:p>
        </w:tc>
        <w:tc>
          <w:tcPr>
            <w:tcW w:w="1196" w:type="dxa"/>
            <w:tcBorders>
              <w:top w:val="nil"/>
              <w:left w:val="nil"/>
              <w:bottom w:val="single" w:sz="4" w:space="0" w:color="auto"/>
              <w:right w:val="single" w:sz="4" w:space="0" w:color="auto"/>
            </w:tcBorders>
            <w:shd w:val="clear" w:color="auto" w:fill="auto"/>
            <w:noWrap/>
            <w:vAlign w:val="center"/>
            <w:hideMark/>
          </w:tcPr>
          <w:p w14:paraId="0C50C9C0" w14:textId="1BB5C73B" w:rsidR="00F27BEB" w:rsidRPr="00534F3A" w:rsidRDefault="0066017B" w:rsidP="00F27BEB">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F27BEB" w:rsidRPr="000645BD" w14:paraId="2FF0BAA4" w14:textId="77777777" w:rsidTr="00ED66C0">
        <w:trPr>
          <w:trHeight w:val="300"/>
        </w:trPr>
        <w:tc>
          <w:tcPr>
            <w:tcW w:w="4855" w:type="dxa"/>
            <w:noWrap/>
            <w:hideMark/>
          </w:tcPr>
          <w:p w14:paraId="6ACF27A2" w14:textId="77777777" w:rsidR="00F27BEB" w:rsidRPr="000813A6" w:rsidRDefault="00F27BEB" w:rsidP="00F27BEB">
            <w:pPr>
              <w:jc w:val="both"/>
              <w:rPr>
                <w:rFonts w:ascii="Times New Roman" w:eastAsia="Times New Roman" w:hAnsi="Times New Roman" w:cs="Times New Roman"/>
                <w:b/>
                <w:bCs/>
                <w:color w:val="000000"/>
                <w:sz w:val="20"/>
                <w:szCs w:val="20"/>
              </w:rPr>
            </w:pPr>
            <w:r w:rsidRPr="000813A6">
              <w:rPr>
                <w:rFonts w:ascii="Times New Roman" w:eastAsia="Times New Roman" w:hAnsi="Times New Roman" w:cs="Times New Roman"/>
                <w:b/>
                <w:bCs/>
                <w:color w:val="000000"/>
                <w:sz w:val="20"/>
                <w:szCs w:val="20"/>
              </w:rPr>
              <w:t>Total Off-Balance Sheet Exposures</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14:paraId="28305E6D" w14:textId="52C295AB" w:rsidR="00F27BEB" w:rsidRPr="00534F3A" w:rsidRDefault="00F27BEB" w:rsidP="00F27BEB">
            <w:pPr>
              <w:jc w:val="right"/>
              <w:rPr>
                <w:rFonts w:ascii="Times New Roman" w:eastAsia="Times New Roman" w:hAnsi="Times New Roman" w:cs="Times New Roman"/>
                <w:b/>
                <w:bCs/>
                <w:color w:val="000000"/>
                <w:sz w:val="20"/>
                <w:szCs w:val="20"/>
              </w:rPr>
            </w:pPr>
            <w:r w:rsidRPr="006B1E6F">
              <w:rPr>
                <w:rFonts w:ascii="Times New Roman" w:hAnsi="Times New Roman" w:cs="Times New Roman"/>
                <w:b/>
                <w:bCs/>
                <w:color w:val="000000"/>
                <w:sz w:val="20"/>
                <w:szCs w:val="20"/>
              </w:rPr>
              <w:t>194,334</w:t>
            </w:r>
          </w:p>
        </w:tc>
        <w:tc>
          <w:tcPr>
            <w:tcW w:w="1594" w:type="dxa"/>
            <w:tcBorders>
              <w:top w:val="nil"/>
              <w:left w:val="nil"/>
              <w:bottom w:val="single" w:sz="4" w:space="0" w:color="auto"/>
              <w:right w:val="single" w:sz="4" w:space="0" w:color="auto"/>
            </w:tcBorders>
            <w:shd w:val="clear" w:color="auto" w:fill="auto"/>
            <w:noWrap/>
            <w:vAlign w:val="center"/>
            <w:hideMark/>
          </w:tcPr>
          <w:p w14:paraId="62A336B7" w14:textId="049A167B" w:rsidR="00F27BEB" w:rsidRPr="00534F3A" w:rsidRDefault="00F27BEB" w:rsidP="00F27BEB">
            <w:pPr>
              <w:jc w:val="center"/>
              <w:rPr>
                <w:rFonts w:ascii="Times New Roman" w:eastAsia="Times New Roman" w:hAnsi="Times New Roman" w:cs="Times New Roman"/>
                <w:b/>
                <w:bCs/>
                <w:color w:val="000000"/>
                <w:sz w:val="20"/>
                <w:szCs w:val="20"/>
              </w:rPr>
            </w:pPr>
            <w:r w:rsidRPr="00534F3A">
              <w:rPr>
                <w:rFonts w:ascii="Times New Roman" w:hAnsi="Times New Roman" w:cs="Times New Roman"/>
                <w:b/>
                <w:bCs/>
                <w:color w:val="000000"/>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14:paraId="2A76F062" w14:textId="4179A6DA" w:rsidR="00F27BEB" w:rsidRPr="00534F3A" w:rsidRDefault="00F27BEB" w:rsidP="00F27BEB">
            <w:pPr>
              <w:jc w:val="right"/>
              <w:rPr>
                <w:rFonts w:ascii="Times New Roman" w:eastAsia="Times New Roman" w:hAnsi="Times New Roman" w:cs="Times New Roman"/>
                <w:b/>
                <w:bCs/>
                <w:color w:val="000000"/>
                <w:sz w:val="20"/>
                <w:szCs w:val="20"/>
              </w:rPr>
            </w:pPr>
            <w:r w:rsidRPr="006B1E6F">
              <w:rPr>
                <w:rFonts w:ascii="Times New Roman" w:hAnsi="Times New Roman" w:cs="Times New Roman"/>
                <w:b/>
                <w:bCs/>
                <w:color w:val="000000"/>
                <w:sz w:val="20"/>
                <w:szCs w:val="20"/>
              </w:rPr>
              <w:t>50,609</w:t>
            </w:r>
          </w:p>
        </w:tc>
      </w:tr>
      <w:tr w:rsidR="00F27BEB" w:rsidRPr="000645BD" w14:paraId="4998CD1F" w14:textId="77777777" w:rsidTr="00ED66C0">
        <w:trPr>
          <w:trHeight w:val="300"/>
        </w:trPr>
        <w:tc>
          <w:tcPr>
            <w:tcW w:w="4855" w:type="dxa"/>
            <w:noWrap/>
            <w:hideMark/>
          </w:tcPr>
          <w:p w14:paraId="4134F3A7" w14:textId="77777777" w:rsidR="00F27BEB" w:rsidRPr="000813A6" w:rsidRDefault="00F27BEB" w:rsidP="00F27BEB">
            <w:pPr>
              <w:jc w:val="both"/>
              <w:rPr>
                <w:rFonts w:ascii="Times New Roman" w:eastAsia="Times New Roman" w:hAnsi="Times New Roman" w:cs="Times New Roman"/>
                <w:color w:val="000000"/>
                <w:sz w:val="20"/>
                <w:szCs w:val="20"/>
              </w:rPr>
            </w:pPr>
            <w:r w:rsidRPr="000813A6">
              <w:rPr>
                <w:rFonts w:ascii="Times New Roman" w:eastAsia="Times New Roman" w:hAnsi="Times New Roman" w:cs="Times New Roman"/>
                <w:color w:val="000000"/>
                <w:sz w:val="20"/>
                <w:szCs w:val="20"/>
              </w:rPr>
              <w:t> </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14:paraId="277431D9" w14:textId="14DCD9D7" w:rsidR="00F27BEB" w:rsidRPr="00534F3A" w:rsidRDefault="00F27BEB" w:rsidP="00F27BEB">
            <w:pPr>
              <w:jc w:val="right"/>
              <w:rPr>
                <w:rFonts w:ascii="Times New Roman" w:eastAsia="Times New Roman" w:hAnsi="Times New Roman" w:cs="Times New Roman"/>
                <w:color w:val="000000"/>
                <w:sz w:val="20"/>
                <w:szCs w:val="20"/>
              </w:rPr>
            </w:pPr>
            <w:r w:rsidRPr="00534F3A">
              <w:rPr>
                <w:rFonts w:ascii="Times New Roman" w:hAnsi="Times New Roman" w:cs="Times New Roman"/>
                <w:color w:val="000000"/>
                <w:sz w:val="20"/>
                <w:szCs w:val="20"/>
              </w:rPr>
              <w:t> </w:t>
            </w:r>
          </w:p>
        </w:tc>
        <w:tc>
          <w:tcPr>
            <w:tcW w:w="1594" w:type="dxa"/>
            <w:tcBorders>
              <w:top w:val="nil"/>
              <w:left w:val="nil"/>
              <w:bottom w:val="single" w:sz="4" w:space="0" w:color="auto"/>
              <w:right w:val="single" w:sz="4" w:space="0" w:color="auto"/>
            </w:tcBorders>
            <w:shd w:val="clear" w:color="auto" w:fill="auto"/>
            <w:noWrap/>
            <w:vAlign w:val="center"/>
            <w:hideMark/>
          </w:tcPr>
          <w:p w14:paraId="2FA9260E" w14:textId="7DBA9A37" w:rsidR="00F27BEB" w:rsidRPr="00534F3A" w:rsidRDefault="00F27BEB" w:rsidP="00F27BEB">
            <w:pPr>
              <w:jc w:val="center"/>
              <w:rPr>
                <w:rFonts w:ascii="Times New Roman" w:eastAsia="Times New Roman" w:hAnsi="Times New Roman" w:cs="Times New Roman"/>
                <w:color w:val="000000"/>
                <w:sz w:val="20"/>
                <w:szCs w:val="20"/>
              </w:rPr>
            </w:pPr>
            <w:r w:rsidRPr="00534F3A">
              <w:rPr>
                <w:rFonts w:ascii="Times New Roman" w:hAnsi="Times New Roman" w:cs="Times New Roman"/>
                <w:color w:val="000000"/>
                <w:sz w:val="20"/>
                <w:szCs w:val="20"/>
              </w:rPr>
              <w:t> </w:t>
            </w:r>
          </w:p>
        </w:tc>
        <w:tc>
          <w:tcPr>
            <w:tcW w:w="1196" w:type="dxa"/>
            <w:tcBorders>
              <w:top w:val="nil"/>
              <w:left w:val="nil"/>
              <w:bottom w:val="single" w:sz="4" w:space="0" w:color="auto"/>
              <w:right w:val="single" w:sz="4" w:space="0" w:color="auto"/>
            </w:tcBorders>
            <w:shd w:val="clear" w:color="auto" w:fill="auto"/>
            <w:noWrap/>
            <w:vAlign w:val="center"/>
            <w:hideMark/>
          </w:tcPr>
          <w:p w14:paraId="0725A0DC" w14:textId="78FDDAC9" w:rsidR="00F27BEB" w:rsidRPr="00534F3A" w:rsidRDefault="00F27BEB" w:rsidP="00F27BEB">
            <w:pPr>
              <w:jc w:val="right"/>
              <w:rPr>
                <w:rFonts w:ascii="Times New Roman" w:eastAsia="Times New Roman" w:hAnsi="Times New Roman" w:cs="Times New Roman"/>
                <w:color w:val="000000"/>
                <w:sz w:val="20"/>
                <w:szCs w:val="20"/>
              </w:rPr>
            </w:pPr>
            <w:r w:rsidRPr="00534F3A">
              <w:rPr>
                <w:rFonts w:ascii="Times New Roman" w:hAnsi="Times New Roman" w:cs="Times New Roman"/>
                <w:color w:val="000000"/>
                <w:sz w:val="20"/>
                <w:szCs w:val="20"/>
              </w:rPr>
              <w:t> </w:t>
            </w:r>
          </w:p>
        </w:tc>
      </w:tr>
      <w:tr w:rsidR="00F27BEB" w:rsidRPr="000645BD" w14:paraId="5BB32D48" w14:textId="77777777" w:rsidTr="00ED66C0">
        <w:trPr>
          <w:trHeight w:val="450"/>
        </w:trPr>
        <w:tc>
          <w:tcPr>
            <w:tcW w:w="4855" w:type="dxa"/>
            <w:noWrap/>
            <w:hideMark/>
          </w:tcPr>
          <w:p w14:paraId="0601F6C2" w14:textId="77777777" w:rsidR="00F27BEB" w:rsidRPr="000813A6" w:rsidRDefault="00F27BEB" w:rsidP="00F27BEB">
            <w:pPr>
              <w:jc w:val="both"/>
              <w:rPr>
                <w:rFonts w:ascii="Times New Roman" w:eastAsia="Times New Roman" w:hAnsi="Times New Roman" w:cs="Times New Roman"/>
                <w:b/>
                <w:bCs/>
                <w:color w:val="000000"/>
                <w:sz w:val="20"/>
                <w:szCs w:val="20"/>
              </w:rPr>
            </w:pPr>
            <w:r w:rsidRPr="000813A6">
              <w:rPr>
                <w:rFonts w:ascii="Times New Roman" w:eastAsia="Times New Roman" w:hAnsi="Times New Roman" w:cs="Times New Roman"/>
                <w:b/>
                <w:bCs/>
                <w:color w:val="000000"/>
                <w:sz w:val="20"/>
                <w:szCs w:val="20"/>
              </w:rPr>
              <w:t>Total credit risk weighted assets</w:t>
            </w:r>
          </w:p>
        </w:tc>
        <w:tc>
          <w:tcPr>
            <w:tcW w:w="1371" w:type="dxa"/>
            <w:tcBorders>
              <w:top w:val="nil"/>
              <w:left w:val="single" w:sz="4" w:space="0" w:color="auto"/>
              <w:bottom w:val="single" w:sz="4" w:space="0" w:color="auto"/>
              <w:right w:val="single" w:sz="4" w:space="0" w:color="auto"/>
            </w:tcBorders>
            <w:shd w:val="clear" w:color="auto" w:fill="auto"/>
            <w:vAlign w:val="center"/>
            <w:hideMark/>
          </w:tcPr>
          <w:p w14:paraId="14641173" w14:textId="0D8D8356" w:rsidR="00F27BEB" w:rsidRPr="00534F3A" w:rsidRDefault="00F27BEB" w:rsidP="00F27BEB">
            <w:pPr>
              <w:jc w:val="right"/>
              <w:rPr>
                <w:rFonts w:ascii="Times New Roman" w:eastAsia="Times New Roman" w:hAnsi="Times New Roman" w:cs="Times New Roman"/>
                <w:b/>
                <w:bCs/>
                <w:color w:val="000000"/>
                <w:sz w:val="20"/>
                <w:szCs w:val="20"/>
              </w:rPr>
            </w:pPr>
            <w:r w:rsidRPr="006B1E6F">
              <w:rPr>
                <w:rFonts w:ascii="Times New Roman" w:hAnsi="Times New Roman" w:cs="Times New Roman"/>
                <w:b/>
                <w:bCs/>
                <w:color w:val="000000"/>
                <w:sz w:val="20"/>
                <w:szCs w:val="20"/>
              </w:rPr>
              <w:t>4,583,666</w:t>
            </w:r>
          </w:p>
        </w:tc>
        <w:tc>
          <w:tcPr>
            <w:tcW w:w="1594" w:type="dxa"/>
            <w:tcBorders>
              <w:top w:val="nil"/>
              <w:left w:val="nil"/>
              <w:bottom w:val="single" w:sz="4" w:space="0" w:color="auto"/>
              <w:right w:val="single" w:sz="4" w:space="0" w:color="auto"/>
            </w:tcBorders>
            <w:shd w:val="clear" w:color="auto" w:fill="auto"/>
            <w:noWrap/>
            <w:vAlign w:val="center"/>
            <w:hideMark/>
          </w:tcPr>
          <w:p w14:paraId="5DFE1941" w14:textId="100B6C3C" w:rsidR="00F27BEB" w:rsidRPr="00534F3A" w:rsidRDefault="00F27BEB" w:rsidP="00F27BEB">
            <w:pPr>
              <w:jc w:val="center"/>
              <w:rPr>
                <w:rFonts w:ascii="Times New Roman" w:eastAsia="Times New Roman" w:hAnsi="Times New Roman" w:cs="Times New Roman"/>
                <w:color w:val="000000"/>
                <w:sz w:val="20"/>
                <w:szCs w:val="20"/>
              </w:rPr>
            </w:pPr>
            <w:r w:rsidRPr="00534F3A">
              <w:rPr>
                <w:rFonts w:ascii="Times New Roman" w:hAnsi="Times New Roman" w:cs="Times New Roman"/>
                <w:color w:val="000000"/>
                <w:sz w:val="20"/>
                <w:szCs w:val="20"/>
              </w:rPr>
              <w:t> </w:t>
            </w:r>
          </w:p>
        </w:tc>
        <w:tc>
          <w:tcPr>
            <w:tcW w:w="1196" w:type="dxa"/>
            <w:tcBorders>
              <w:top w:val="nil"/>
              <w:left w:val="nil"/>
              <w:bottom w:val="single" w:sz="4" w:space="0" w:color="auto"/>
              <w:right w:val="single" w:sz="4" w:space="0" w:color="auto"/>
            </w:tcBorders>
            <w:shd w:val="clear" w:color="auto" w:fill="auto"/>
            <w:vAlign w:val="center"/>
            <w:hideMark/>
          </w:tcPr>
          <w:p w14:paraId="781BC074" w14:textId="369CB8A2" w:rsidR="00F27BEB" w:rsidRPr="00534F3A" w:rsidRDefault="00F27BEB" w:rsidP="00F27BEB">
            <w:pPr>
              <w:jc w:val="right"/>
              <w:rPr>
                <w:rFonts w:ascii="Times New Roman" w:eastAsia="Times New Roman" w:hAnsi="Times New Roman" w:cs="Times New Roman"/>
                <w:b/>
                <w:bCs/>
                <w:color w:val="000000"/>
                <w:sz w:val="20"/>
                <w:szCs w:val="20"/>
              </w:rPr>
            </w:pPr>
            <w:r w:rsidRPr="006B1E6F">
              <w:rPr>
                <w:rFonts w:ascii="Times New Roman" w:hAnsi="Times New Roman" w:cs="Times New Roman"/>
                <w:b/>
                <w:bCs/>
                <w:color w:val="000000"/>
                <w:sz w:val="20"/>
                <w:szCs w:val="20"/>
              </w:rPr>
              <w:t>3,343,168</w:t>
            </w:r>
          </w:p>
        </w:tc>
      </w:tr>
    </w:tbl>
    <w:p w14:paraId="5B4AA3AE" w14:textId="77777777" w:rsidR="00B47F53" w:rsidRPr="00B47F53" w:rsidRDefault="00B47F53" w:rsidP="00F8167B">
      <w:pPr>
        <w:jc w:val="both"/>
        <w:rPr>
          <w:rStyle w:val="A5"/>
          <w:rFonts w:ascii="Times New Roman" w:hAnsi="Times New Roman" w:cs="Times New Roman"/>
          <w:sz w:val="20"/>
          <w:szCs w:val="20"/>
        </w:rPr>
      </w:pPr>
    </w:p>
    <w:p w14:paraId="4C558A6C" w14:textId="77777777" w:rsidR="001C1D4C" w:rsidRPr="00B47F53" w:rsidRDefault="004E551B" w:rsidP="00A26251">
      <w:pPr>
        <w:pStyle w:val="Pa11"/>
        <w:numPr>
          <w:ilvl w:val="0"/>
          <w:numId w:val="12"/>
        </w:numPr>
        <w:spacing w:line="276" w:lineRule="auto"/>
        <w:jc w:val="both"/>
        <w:rPr>
          <w:rStyle w:val="A5"/>
          <w:rFonts w:ascii="Times New Roman" w:hAnsi="Times New Roman" w:cs="Times New Roman"/>
          <w:b/>
          <w:sz w:val="20"/>
          <w:szCs w:val="20"/>
        </w:rPr>
      </w:pPr>
      <w:r w:rsidRPr="00B47F53">
        <w:rPr>
          <w:rStyle w:val="A5"/>
          <w:rFonts w:ascii="Times New Roman" w:hAnsi="Times New Roman" w:cs="Times New Roman"/>
          <w:b/>
          <w:sz w:val="20"/>
          <w:szCs w:val="20"/>
        </w:rPr>
        <w:t xml:space="preserve">Capital requirements for market risk </w:t>
      </w:r>
    </w:p>
    <w:p w14:paraId="08AC1DAA" w14:textId="6B52DCC9" w:rsidR="004E551B" w:rsidRDefault="001C1D4C" w:rsidP="00F8167B">
      <w:pPr>
        <w:jc w:val="both"/>
        <w:rPr>
          <w:rStyle w:val="A5"/>
          <w:rFonts w:ascii="Times New Roman" w:hAnsi="Times New Roman" w:cs="Times New Roman"/>
          <w:sz w:val="20"/>
          <w:szCs w:val="20"/>
        </w:rPr>
      </w:pPr>
      <w:r w:rsidRPr="00B47F53">
        <w:rPr>
          <w:rStyle w:val="A5"/>
          <w:rFonts w:ascii="Times New Roman" w:hAnsi="Times New Roman" w:cs="Times New Roman"/>
          <w:sz w:val="20"/>
          <w:szCs w:val="20"/>
        </w:rPr>
        <w:t>The bank’s market risk is calculated u</w:t>
      </w:r>
      <w:r w:rsidR="004E551B" w:rsidRPr="00B47F53">
        <w:rPr>
          <w:rStyle w:val="A5"/>
          <w:rFonts w:ascii="Times New Roman" w:hAnsi="Times New Roman" w:cs="Times New Roman"/>
          <w:sz w:val="20"/>
          <w:szCs w:val="20"/>
        </w:rPr>
        <w:t xml:space="preserve">sing the Standardised Approach. A </w:t>
      </w:r>
      <w:r w:rsidR="00CD1BB1" w:rsidRPr="00B47F53">
        <w:rPr>
          <w:rStyle w:val="A5"/>
          <w:rFonts w:ascii="Times New Roman" w:hAnsi="Times New Roman" w:cs="Times New Roman"/>
          <w:sz w:val="20"/>
          <w:szCs w:val="20"/>
        </w:rPr>
        <w:t xml:space="preserve">market risk </w:t>
      </w:r>
      <w:r w:rsidR="004E551B" w:rsidRPr="00B47F53">
        <w:rPr>
          <w:rStyle w:val="A5"/>
          <w:rFonts w:ascii="Times New Roman" w:hAnsi="Times New Roman" w:cs="Times New Roman"/>
          <w:sz w:val="20"/>
          <w:szCs w:val="20"/>
        </w:rPr>
        <w:t xml:space="preserve">capital charge is computed for foreign exchange risks in the </w:t>
      </w:r>
      <w:r w:rsidR="00547C4F" w:rsidRPr="00B47F53">
        <w:rPr>
          <w:rStyle w:val="A5"/>
          <w:rFonts w:ascii="Times New Roman" w:hAnsi="Times New Roman" w:cs="Times New Roman"/>
          <w:sz w:val="20"/>
          <w:szCs w:val="20"/>
        </w:rPr>
        <w:t>Banking</w:t>
      </w:r>
      <w:r w:rsidR="004E551B" w:rsidRPr="00B47F53">
        <w:rPr>
          <w:rStyle w:val="A5"/>
          <w:rFonts w:ascii="Times New Roman" w:hAnsi="Times New Roman" w:cs="Times New Roman"/>
          <w:sz w:val="20"/>
          <w:szCs w:val="20"/>
        </w:rPr>
        <w:t xml:space="preserve"> book. The </w:t>
      </w:r>
      <w:r w:rsidR="00547C4F" w:rsidRPr="00B47F53">
        <w:rPr>
          <w:rStyle w:val="A5"/>
          <w:rFonts w:ascii="Times New Roman" w:hAnsi="Times New Roman" w:cs="Times New Roman"/>
          <w:sz w:val="20"/>
          <w:szCs w:val="20"/>
        </w:rPr>
        <w:t>sum is then</w:t>
      </w:r>
      <w:r w:rsidR="004E551B" w:rsidRPr="00B47F53">
        <w:rPr>
          <w:rStyle w:val="A5"/>
          <w:rFonts w:ascii="Times New Roman" w:hAnsi="Times New Roman" w:cs="Times New Roman"/>
          <w:sz w:val="20"/>
          <w:szCs w:val="20"/>
        </w:rPr>
        <w:t xml:space="preserve"> </w:t>
      </w:r>
      <w:r w:rsidR="00547C4F" w:rsidRPr="00B47F53">
        <w:rPr>
          <w:rStyle w:val="A5"/>
          <w:rFonts w:ascii="Times New Roman" w:hAnsi="Times New Roman" w:cs="Times New Roman"/>
          <w:sz w:val="20"/>
          <w:szCs w:val="20"/>
        </w:rPr>
        <w:t>calibrated</w:t>
      </w:r>
      <w:r w:rsidR="004E551B" w:rsidRPr="00B47F53">
        <w:rPr>
          <w:rStyle w:val="A5"/>
          <w:rFonts w:ascii="Times New Roman" w:hAnsi="Times New Roman" w:cs="Times New Roman"/>
          <w:sz w:val="20"/>
          <w:szCs w:val="20"/>
        </w:rPr>
        <w:t xml:space="preserve"> by a risk weight factor </w:t>
      </w:r>
      <w:r w:rsidR="00222820">
        <w:rPr>
          <w:rStyle w:val="A5"/>
          <w:rFonts w:ascii="Times New Roman" w:hAnsi="Times New Roman" w:cs="Times New Roman"/>
          <w:sz w:val="20"/>
          <w:szCs w:val="20"/>
        </w:rPr>
        <w:t xml:space="preserve">of </w:t>
      </w:r>
      <w:r w:rsidR="004E551B" w:rsidRPr="00B47F53">
        <w:rPr>
          <w:rStyle w:val="A5"/>
          <w:rFonts w:ascii="Times New Roman" w:hAnsi="Times New Roman" w:cs="Times New Roman"/>
          <w:sz w:val="20"/>
          <w:szCs w:val="20"/>
        </w:rPr>
        <w:t>6.7.</w:t>
      </w:r>
    </w:p>
    <w:p w14:paraId="64ED0141" w14:textId="73560CBA" w:rsidR="00941520" w:rsidRDefault="00941520" w:rsidP="00F8167B">
      <w:pPr>
        <w:jc w:val="both"/>
        <w:rPr>
          <w:rStyle w:val="A5"/>
        </w:rPr>
      </w:pPr>
    </w:p>
    <w:p w14:paraId="47332DE9" w14:textId="77777777" w:rsidR="00941520" w:rsidRPr="00B47F53" w:rsidRDefault="00941520" w:rsidP="00F8167B">
      <w:pPr>
        <w:jc w:val="both"/>
        <w:rPr>
          <w:rStyle w:val="A5"/>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1875"/>
        <w:gridCol w:w="2348"/>
        <w:gridCol w:w="2020"/>
      </w:tblGrid>
      <w:tr w:rsidR="00CD1BB1" w:rsidRPr="00B47F53" w14:paraId="4ECB0157" w14:textId="77777777" w:rsidTr="007A7870">
        <w:trPr>
          <w:trHeight w:val="298"/>
        </w:trPr>
        <w:tc>
          <w:tcPr>
            <w:tcW w:w="1538" w:type="pct"/>
            <w:shd w:val="clear" w:color="auto" w:fill="92D050"/>
            <w:noWrap/>
            <w:vAlign w:val="bottom"/>
            <w:hideMark/>
          </w:tcPr>
          <w:p w14:paraId="4DFAC0B9" w14:textId="77777777" w:rsidR="00CD1BB1" w:rsidRPr="00B47F53" w:rsidRDefault="00CD1BB1" w:rsidP="00F8167B">
            <w:pPr>
              <w:spacing w:after="0"/>
              <w:rPr>
                <w:rFonts w:ascii="Times New Roman" w:eastAsia="Times New Roman" w:hAnsi="Times New Roman" w:cs="Times New Roman"/>
                <w:b/>
                <w:color w:val="000000"/>
                <w:sz w:val="20"/>
                <w:szCs w:val="20"/>
                <w:lang w:eastAsia="en-ZA"/>
              </w:rPr>
            </w:pPr>
            <w:r w:rsidRPr="00B47F53">
              <w:rPr>
                <w:rFonts w:ascii="Times New Roman" w:eastAsia="Times New Roman" w:hAnsi="Times New Roman" w:cs="Times New Roman"/>
                <w:b/>
                <w:color w:val="000000"/>
                <w:sz w:val="20"/>
                <w:szCs w:val="20"/>
                <w:lang w:eastAsia="en-ZA"/>
              </w:rPr>
              <w:lastRenderedPageBreak/>
              <w:t>Risk</w:t>
            </w:r>
          </w:p>
        </w:tc>
        <w:tc>
          <w:tcPr>
            <w:tcW w:w="1040" w:type="pct"/>
            <w:shd w:val="clear" w:color="auto" w:fill="92D050"/>
            <w:noWrap/>
            <w:vAlign w:val="bottom"/>
            <w:hideMark/>
          </w:tcPr>
          <w:p w14:paraId="27C05B5D" w14:textId="77777777" w:rsidR="00CD1BB1" w:rsidRPr="00B47F53" w:rsidRDefault="00CD1BB1" w:rsidP="00F8167B">
            <w:pPr>
              <w:spacing w:after="0"/>
              <w:rPr>
                <w:rFonts w:ascii="Times New Roman" w:eastAsia="Times New Roman" w:hAnsi="Times New Roman" w:cs="Times New Roman"/>
                <w:b/>
                <w:color w:val="000000"/>
                <w:sz w:val="20"/>
                <w:szCs w:val="20"/>
                <w:lang w:eastAsia="en-ZA"/>
              </w:rPr>
            </w:pPr>
            <w:r w:rsidRPr="00B47F53">
              <w:rPr>
                <w:rFonts w:ascii="Times New Roman" w:eastAsia="Times New Roman" w:hAnsi="Times New Roman" w:cs="Times New Roman"/>
                <w:b/>
                <w:color w:val="000000"/>
                <w:sz w:val="20"/>
                <w:szCs w:val="20"/>
                <w:lang w:eastAsia="en-ZA"/>
              </w:rPr>
              <w:t>Amount</w:t>
            </w:r>
          </w:p>
        </w:tc>
        <w:tc>
          <w:tcPr>
            <w:tcW w:w="1302" w:type="pct"/>
            <w:shd w:val="clear" w:color="auto" w:fill="92D050"/>
            <w:noWrap/>
            <w:vAlign w:val="bottom"/>
            <w:hideMark/>
          </w:tcPr>
          <w:p w14:paraId="197DD6AE" w14:textId="77777777" w:rsidR="00CD1BB1" w:rsidRPr="00B47F53" w:rsidRDefault="00CD1BB1" w:rsidP="00F8167B">
            <w:pPr>
              <w:spacing w:after="0"/>
              <w:rPr>
                <w:rFonts w:ascii="Times New Roman" w:eastAsia="Times New Roman" w:hAnsi="Times New Roman" w:cs="Times New Roman"/>
                <w:b/>
                <w:color w:val="000000"/>
                <w:sz w:val="20"/>
                <w:szCs w:val="20"/>
                <w:lang w:eastAsia="en-ZA"/>
              </w:rPr>
            </w:pPr>
            <w:r w:rsidRPr="00B47F53">
              <w:rPr>
                <w:rFonts w:ascii="Times New Roman" w:eastAsia="Times New Roman" w:hAnsi="Times New Roman" w:cs="Times New Roman"/>
                <w:b/>
                <w:color w:val="000000"/>
                <w:sz w:val="20"/>
                <w:szCs w:val="20"/>
                <w:lang w:eastAsia="en-ZA"/>
              </w:rPr>
              <w:t>Risk Weighted Factor</w:t>
            </w:r>
          </w:p>
        </w:tc>
        <w:tc>
          <w:tcPr>
            <w:tcW w:w="1120" w:type="pct"/>
            <w:shd w:val="clear" w:color="auto" w:fill="92D050"/>
            <w:noWrap/>
            <w:vAlign w:val="bottom"/>
            <w:hideMark/>
          </w:tcPr>
          <w:p w14:paraId="0BA1872A" w14:textId="77777777" w:rsidR="00CD1BB1" w:rsidRPr="00B47F53" w:rsidRDefault="00CD1BB1" w:rsidP="00F8167B">
            <w:pPr>
              <w:spacing w:after="0"/>
              <w:rPr>
                <w:rFonts w:ascii="Times New Roman" w:eastAsia="Times New Roman" w:hAnsi="Times New Roman" w:cs="Times New Roman"/>
                <w:b/>
                <w:color w:val="000000"/>
                <w:sz w:val="20"/>
                <w:szCs w:val="20"/>
                <w:lang w:eastAsia="en-ZA"/>
              </w:rPr>
            </w:pPr>
            <w:r w:rsidRPr="00B47F53">
              <w:rPr>
                <w:rFonts w:ascii="Times New Roman" w:eastAsia="Times New Roman" w:hAnsi="Times New Roman" w:cs="Times New Roman"/>
                <w:b/>
                <w:color w:val="000000"/>
                <w:sz w:val="20"/>
                <w:szCs w:val="20"/>
                <w:lang w:eastAsia="en-ZA"/>
              </w:rPr>
              <w:t xml:space="preserve">       RWA</w:t>
            </w:r>
          </w:p>
        </w:tc>
      </w:tr>
      <w:tr w:rsidR="00CD1BB1" w:rsidRPr="00B47F53" w14:paraId="1784C288" w14:textId="77777777" w:rsidTr="007A7870">
        <w:trPr>
          <w:trHeight w:val="298"/>
        </w:trPr>
        <w:tc>
          <w:tcPr>
            <w:tcW w:w="1538" w:type="pct"/>
            <w:shd w:val="clear" w:color="auto" w:fill="auto"/>
            <w:noWrap/>
            <w:vAlign w:val="bottom"/>
          </w:tcPr>
          <w:p w14:paraId="5CFF5174" w14:textId="77777777" w:rsidR="00CD1BB1" w:rsidRPr="00B47F53" w:rsidRDefault="00CD1BB1" w:rsidP="00F8167B">
            <w:pPr>
              <w:spacing w:after="0"/>
              <w:rPr>
                <w:rFonts w:ascii="Times New Roman" w:eastAsia="Times New Roman" w:hAnsi="Times New Roman" w:cs="Times New Roman"/>
                <w:color w:val="000000"/>
                <w:sz w:val="20"/>
                <w:szCs w:val="20"/>
                <w:lang w:eastAsia="en-ZA"/>
              </w:rPr>
            </w:pPr>
          </w:p>
        </w:tc>
        <w:tc>
          <w:tcPr>
            <w:tcW w:w="1040" w:type="pct"/>
            <w:shd w:val="clear" w:color="auto" w:fill="auto"/>
            <w:noWrap/>
            <w:vAlign w:val="bottom"/>
          </w:tcPr>
          <w:p w14:paraId="49E4A9BB" w14:textId="77777777" w:rsidR="00CD1BB1" w:rsidRPr="00B47F53" w:rsidRDefault="00CD1BB1" w:rsidP="00F8167B">
            <w:pPr>
              <w:spacing w:after="0"/>
              <w:jc w:val="right"/>
              <w:rPr>
                <w:rFonts w:ascii="Times New Roman" w:eastAsia="Times New Roman" w:hAnsi="Times New Roman" w:cs="Times New Roman"/>
                <w:b/>
                <w:color w:val="000000"/>
                <w:sz w:val="20"/>
                <w:szCs w:val="20"/>
                <w:lang w:eastAsia="en-ZA"/>
              </w:rPr>
            </w:pPr>
            <w:r w:rsidRPr="00B47F53">
              <w:rPr>
                <w:rFonts w:ascii="Times New Roman" w:eastAsia="Times New Roman" w:hAnsi="Times New Roman" w:cs="Times New Roman"/>
                <w:b/>
                <w:color w:val="000000"/>
                <w:sz w:val="20"/>
                <w:szCs w:val="20"/>
                <w:lang w:eastAsia="en-ZA"/>
              </w:rPr>
              <w:t>P’000</w:t>
            </w:r>
          </w:p>
        </w:tc>
        <w:tc>
          <w:tcPr>
            <w:tcW w:w="1302" w:type="pct"/>
            <w:shd w:val="clear" w:color="auto" w:fill="auto"/>
            <w:noWrap/>
            <w:vAlign w:val="bottom"/>
          </w:tcPr>
          <w:p w14:paraId="6450358F" w14:textId="77777777" w:rsidR="00CD1BB1" w:rsidRPr="00B47F53" w:rsidRDefault="00CD1BB1" w:rsidP="00F8167B">
            <w:pPr>
              <w:spacing w:after="0"/>
              <w:jc w:val="right"/>
              <w:rPr>
                <w:rFonts w:ascii="Times New Roman" w:eastAsia="Times New Roman" w:hAnsi="Times New Roman" w:cs="Times New Roman"/>
                <w:b/>
                <w:color w:val="000000"/>
                <w:sz w:val="20"/>
                <w:szCs w:val="20"/>
                <w:lang w:eastAsia="en-ZA"/>
              </w:rPr>
            </w:pPr>
          </w:p>
        </w:tc>
        <w:tc>
          <w:tcPr>
            <w:tcW w:w="1120" w:type="pct"/>
            <w:shd w:val="clear" w:color="auto" w:fill="auto"/>
            <w:noWrap/>
            <w:vAlign w:val="bottom"/>
          </w:tcPr>
          <w:p w14:paraId="7423ABDA" w14:textId="77777777" w:rsidR="00CD1BB1" w:rsidRPr="00B47F53" w:rsidRDefault="00CD1BB1" w:rsidP="00F8167B">
            <w:pPr>
              <w:spacing w:after="0"/>
              <w:jc w:val="right"/>
              <w:rPr>
                <w:rFonts w:ascii="Times New Roman" w:eastAsia="Times New Roman" w:hAnsi="Times New Roman" w:cs="Times New Roman"/>
                <w:b/>
                <w:color w:val="000000"/>
                <w:sz w:val="20"/>
                <w:szCs w:val="20"/>
                <w:lang w:eastAsia="en-ZA"/>
              </w:rPr>
            </w:pPr>
            <w:r w:rsidRPr="00B47F53">
              <w:rPr>
                <w:rFonts w:ascii="Times New Roman" w:eastAsia="Times New Roman" w:hAnsi="Times New Roman" w:cs="Times New Roman"/>
                <w:b/>
                <w:color w:val="000000"/>
                <w:sz w:val="20"/>
                <w:szCs w:val="20"/>
                <w:lang w:eastAsia="en-ZA"/>
              </w:rPr>
              <w:t>P’000</w:t>
            </w:r>
          </w:p>
        </w:tc>
      </w:tr>
      <w:tr w:rsidR="00534F3A" w:rsidRPr="00B47F53" w14:paraId="7A927AFE" w14:textId="77777777" w:rsidTr="00ED66C0">
        <w:trPr>
          <w:trHeight w:val="298"/>
        </w:trPr>
        <w:tc>
          <w:tcPr>
            <w:tcW w:w="1538" w:type="pct"/>
            <w:shd w:val="clear" w:color="auto" w:fill="auto"/>
            <w:noWrap/>
            <w:vAlign w:val="bottom"/>
            <w:hideMark/>
          </w:tcPr>
          <w:p w14:paraId="5B27AA74" w14:textId="77777777" w:rsidR="00534F3A" w:rsidRPr="00B47F53" w:rsidRDefault="00534F3A" w:rsidP="00534F3A">
            <w:pPr>
              <w:spacing w:after="0"/>
              <w:rPr>
                <w:rFonts w:ascii="Times New Roman" w:eastAsia="Times New Roman" w:hAnsi="Times New Roman" w:cs="Times New Roman"/>
                <w:sz w:val="20"/>
                <w:szCs w:val="20"/>
                <w:lang w:eastAsia="en-ZA"/>
              </w:rPr>
            </w:pPr>
            <w:r w:rsidRPr="00B47F53">
              <w:rPr>
                <w:rFonts w:ascii="Times New Roman" w:eastAsia="Times New Roman" w:hAnsi="Times New Roman" w:cs="Times New Roman"/>
                <w:sz w:val="20"/>
                <w:szCs w:val="20"/>
                <w:lang w:eastAsia="en-ZA"/>
              </w:rPr>
              <w:t>Foreign exchange risk</w:t>
            </w:r>
          </w:p>
        </w:tc>
        <w:tc>
          <w:tcPr>
            <w:tcW w:w="10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3162F" w14:textId="3C33E977" w:rsidR="00534F3A" w:rsidRPr="00534F3A" w:rsidRDefault="006B1E6F" w:rsidP="00534F3A">
            <w:pPr>
              <w:pStyle w:val="NoSpacing"/>
              <w:jc w:val="right"/>
              <w:rPr>
                <w:rFonts w:ascii="Times New Roman" w:hAnsi="Times New Roman" w:cs="Times New Roman"/>
                <w:sz w:val="20"/>
                <w:szCs w:val="20"/>
                <w:lang w:eastAsia="en-ZA"/>
              </w:rPr>
            </w:pPr>
            <w:r w:rsidRPr="006B1E6F">
              <w:rPr>
                <w:rFonts w:ascii="Times New Roman" w:hAnsi="Times New Roman" w:cs="Times New Roman"/>
                <w:color w:val="000000"/>
                <w:sz w:val="20"/>
                <w:szCs w:val="20"/>
              </w:rPr>
              <w:t>449</w:t>
            </w:r>
          </w:p>
        </w:tc>
        <w:tc>
          <w:tcPr>
            <w:tcW w:w="1302" w:type="pct"/>
            <w:tcBorders>
              <w:top w:val="single" w:sz="4" w:space="0" w:color="auto"/>
              <w:left w:val="nil"/>
              <w:bottom w:val="single" w:sz="4" w:space="0" w:color="auto"/>
              <w:right w:val="single" w:sz="4" w:space="0" w:color="auto"/>
            </w:tcBorders>
            <w:shd w:val="clear" w:color="auto" w:fill="auto"/>
            <w:noWrap/>
            <w:vAlign w:val="bottom"/>
            <w:hideMark/>
          </w:tcPr>
          <w:p w14:paraId="2636CE16" w14:textId="6E0774A2" w:rsidR="00534F3A" w:rsidRPr="00534F3A" w:rsidRDefault="00534F3A" w:rsidP="00534F3A">
            <w:pPr>
              <w:pStyle w:val="NoSpacing"/>
              <w:jc w:val="right"/>
              <w:rPr>
                <w:rFonts w:ascii="Times New Roman" w:hAnsi="Times New Roman" w:cs="Times New Roman"/>
                <w:sz w:val="20"/>
                <w:szCs w:val="20"/>
                <w:lang w:eastAsia="en-ZA"/>
              </w:rPr>
            </w:pPr>
            <w:r w:rsidRPr="00534F3A">
              <w:rPr>
                <w:rFonts w:ascii="Times New Roman" w:hAnsi="Times New Roman" w:cs="Times New Roman"/>
                <w:color w:val="000000"/>
                <w:sz w:val="20"/>
                <w:szCs w:val="20"/>
              </w:rPr>
              <w:t>6.7</w:t>
            </w:r>
          </w:p>
        </w:tc>
        <w:tc>
          <w:tcPr>
            <w:tcW w:w="1120" w:type="pct"/>
            <w:tcBorders>
              <w:top w:val="single" w:sz="4" w:space="0" w:color="auto"/>
              <w:left w:val="nil"/>
              <w:bottom w:val="single" w:sz="4" w:space="0" w:color="auto"/>
              <w:right w:val="single" w:sz="4" w:space="0" w:color="auto"/>
            </w:tcBorders>
            <w:shd w:val="clear" w:color="auto" w:fill="auto"/>
            <w:noWrap/>
            <w:vAlign w:val="center"/>
            <w:hideMark/>
          </w:tcPr>
          <w:p w14:paraId="1F8CE0A2" w14:textId="187F950E" w:rsidR="00534F3A" w:rsidRPr="00534F3A" w:rsidRDefault="006B1E6F" w:rsidP="00534F3A">
            <w:pPr>
              <w:pStyle w:val="NoSpacing"/>
              <w:jc w:val="right"/>
              <w:rPr>
                <w:rFonts w:ascii="Times New Roman" w:hAnsi="Times New Roman" w:cs="Times New Roman"/>
                <w:sz w:val="20"/>
                <w:szCs w:val="20"/>
                <w:lang w:eastAsia="en-ZA"/>
              </w:rPr>
            </w:pPr>
            <w:r w:rsidRPr="006B1E6F">
              <w:rPr>
                <w:rFonts w:ascii="Times New Roman" w:hAnsi="Times New Roman" w:cs="Times New Roman"/>
                <w:color w:val="000000"/>
                <w:sz w:val="20"/>
                <w:szCs w:val="20"/>
              </w:rPr>
              <w:t>3,010</w:t>
            </w:r>
          </w:p>
        </w:tc>
      </w:tr>
      <w:tr w:rsidR="00534F3A" w:rsidRPr="00B47F53" w14:paraId="5F0F9820" w14:textId="77777777" w:rsidTr="00ED66C0">
        <w:trPr>
          <w:trHeight w:val="298"/>
        </w:trPr>
        <w:tc>
          <w:tcPr>
            <w:tcW w:w="1538" w:type="pct"/>
            <w:shd w:val="clear" w:color="auto" w:fill="auto"/>
            <w:noWrap/>
            <w:vAlign w:val="bottom"/>
            <w:hideMark/>
          </w:tcPr>
          <w:p w14:paraId="608561CD" w14:textId="77777777" w:rsidR="00534F3A" w:rsidRPr="00B47F53" w:rsidRDefault="00534F3A" w:rsidP="00534F3A">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 </w:t>
            </w:r>
          </w:p>
        </w:tc>
        <w:tc>
          <w:tcPr>
            <w:tcW w:w="1040" w:type="pct"/>
            <w:tcBorders>
              <w:top w:val="nil"/>
              <w:left w:val="single" w:sz="4" w:space="0" w:color="auto"/>
              <w:bottom w:val="single" w:sz="4" w:space="0" w:color="auto"/>
              <w:right w:val="single" w:sz="4" w:space="0" w:color="auto"/>
            </w:tcBorders>
            <w:shd w:val="clear" w:color="auto" w:fill="auto"/>
            <w:noWrap/>
            <w:vAlign w:val="bottom"/>
            <w:hideMark/>
          </w:tcPr>
          <w:p w14:paraId="7805D54E" w14:textId="527B8010" w:rsidR="00534F3A" w:rsidRPr="00534F3A" w:rsidRDefault="006B1E6F" w:rsidP="00534F3A">
            <w:pPr>
              <w:spacing w:after="0"/>
              <w:jc w:val="right"/>
              <w:rPr>
                <w:rFonts w:ascii="Times New Roman" w:eastAsia="Times New Roman" w:hAnsi="Times New Roman" w:cs="Times New Roman"/>
                <w:b/>
                <w:color w:val="000000"/>
                <w:sz w:val="20"/>
                <w:szCs w:val="20"/>
                <w:lang w:eastAsia="en-ZA"/>
              </w:rPr>
            </w:pPr>
            <w:r w:rsidRPr="006B1E6F">
              <w:rPr>
                <w:rFonts w:ascii="Times New Roman" w:hAnsi="Times New Roman" w:cs="Times New Roman"/>
                <w:b/>
                <w:bCs/>
                <w:color w:val="000000"/>
                <w:sz w:val="20"/>
                <w:szCs w:val="20"/>
              </w:rPr>
              <w:t>449</w:t>
            </w:r>
          </w:p>
        </w:tc>
        <w:tc>
          <w:tcPr>
            <w:tcW w:w="1302" w:type="pct"/>
            <w:tcBorders>
              <w:top w:val="nil"/>
              <w:left w:val="nil"/>
              <w:bottom w:val="single" w:sz="4" w:space="0" w:color="auto"/>
              <w:right w:val="single" w:sz="4" w:space="0" w:color="auto"/>
            </w:tcBorders>
            <w:shd w:val="clear" w:color="auto" w:fill="auto"/>
            <w:noWrap/>
            <w:vAlign w:val="bottom"/>
            <w:hideMark/>
          </w:tcPr>
          <w:p w14:paraId="12D4F764" w14:textId="2C5F7CF4" w:rsidR="00534F3A" w:rsidRPr="00534F3A" w:rsidRDefault="00534F3A" w:rsidP="00534F3A">
            <w:pPr>
              <w:spacing w:after="0"/>
              <w:jc w:val="right"/>
              <w:rPr>
                <w:rFonts w:ascii="Times New Roman" w:eastAsia="Times New Roman" w:hAnsi="Times New Roman" w:cs="Times New Roman"/>
                <w:b/>
                <w:color w:val="000000"/>
                <w:sz w:val="20"/>
                <w:szCs w:val="20"/>
                <w:lang w:eastAsia="en-ZA"/>
              </w:rPr>
            </w:pPr>
            <w:r w:rsidRPr="00534F3A">
              <w:rPr>
                <w:rFonts w:ascii="Times New Roman" w:hAnsi="Times New Roman" w:cs="Times New Roman"/>
                <w:b/>
                <w:bCs/>
                <w:color w:val="000000"/>
                <w:sz w:val="20"/>
                <w:szCs w:val="20"/>
              </w:rPr>
              <w:t> </w:t>
            </w:r>
          </w:p>
        </w:tc>
        <w:tc>
          <w:tcPr>
            <w:tcW w:w="1120" w:type="pct"/>
            <w:tcBorders>
              <w:top w:val="nil"/>
              <w:left w:val="nil"/>
              <w:bottom w:val="single" w:sz="4" w:space="0" w:color="auto"/>
              <w:right w:val="single" w:sz="4" w:space="0" w:color="auto"/>
            </w:tcBorders>
            <w:shd w:val="clear" w:color="auto" w:fill="auto"/>
            <w:noWrap/>
            <w:vAlign w:val="bottom"/>
            <w:hideMark/>
          </w:tcPr>
          <w:p w14:paraId="0F237A18" w14:textId="7186023D" w:rsidR="00534F3A" w:rsidRPr="00534F3A" w:rsidRDefault="006B1E6F" w:rsidP="00534F3A">
            <w:pPr>
              <w:spacing w:after="0"/>
              <w:jc w:val="right"/>
              <w:rPr>
                <w:rFonts w:ascii="Times New Roman" w:eastAsia="Times New Roman" w:hAnsi="Times New Roman" w:cs="Times New Roman"/>
                <w:b/>
                <w:color w:val="000000"/>
                <w:sz w:val="20"/>
                <w:szCs w:val="20"/>
                <w:lang w:eastAsia="en-ZA"/>
              </w:rPr>
            </w:pPr>
            <w:r w:rsidRPr="006B1E6F">
              <w:rPr>
                <w:rFonts w:ascii="Times New Roman" w:hAnsi="Times New Roman" w:cs="Times New Roman"/>
                <w:b/>
                <w:bCs/>
                <w:color w:val="000000"/>
                <w:sz w:val="20"/>
                <w:szCs w:val="20"/>
              </w:rPr>
              <w:t>3,010</w:t>
            </w:r>
          </w:p>
        </w:tc>
      </w:tr>
    </w:tbl>
    <w:p w14:paraId="1DE92AFE" w14:textId="77777777" w:rsidR="00062153" w:rsidRPr="00B47F53" w:rsidRDefault="00547C4F" w:rsidP="00A26251">
      <w:pPr>
        <w:pStyle w:val="Heading2"/>
        <w:numPr>
          <w:ilvl w:val="0"/>
          <w:numId w:val="12"/>
        </w:numPr>
        <w:rPr>
          <w:rStyle w:val="A5"/>
          <w:rFonts w:ascii="Times New Roman" w:hAnsi="Times New Roman" w:cs="Times New Roman"/>
          <w:color w:val="auto"/>
          <w:sz w:val="20"/>
          <w:szCs w:val="20"/>
        </w:rPr>
      </w:pPr>
      <w:bookmarkStart w:id="6" w:name="_Toc519240736"/>
      <w:bookmarkStart w:id="7" w:name="_Toc519241598"/>
      <w:bookmarkStart w:id="8" w:name="_Toc100839094"/>
      <w:r w:rsidRPr="00B47F53">
        <w:rPr>
          <w:rStyle w:val="A5"/>
          <w:rFonts w:ascii="Times New Roman" w:hAnsi="Times New Roman" w:cs="Times New Roman"/>
          <w:color w:val="auto"/>
          <w:sz w:val="20"/>
          <w:szCs w:val="20"/>
        </w:rPr>
        <w:t>Capital</w:t>
      </w:r>
      <w:r w:rsidR="004E551B" w:rsidRPr="00B47F53">
        <w:rPr>
          <w:rStyle w:val="A5"/>
          <w:rFonts w:ascii="Times New Roman" w:hAnsi="Times New Roman" w:cs="Times New Roman"/>
          <w:color w:val="auto"/>
          <w:sz w:val="20"/>
          <w:szCs w:val="20"/>
        </w:rPr>
        <w:t xml:space="preserve"> requirement for </w:t>
      </w:r>
      <w:r w:rsidRPr="00B47F53">
        <w:rPr>
          <w:rStyle w:val="A5"/>
          <w:rFonts w:ascii="Times New Roman" w:hAnsi="Times New Roman" w:cs="Times New Roman"/>
          <w:color w:val="auto"/>
          <w:sz w:val="20"/>
          <w:szCs w:val="20"/>
        </w:rPr>
        <w:t>O</w:t>
      </w:r>
      <w:r w:rsidR="004E551B" w:rsidRPr="00B47F53">
        <w:rPr>
          <w:rStyle w:val="A5"/>
          <w:rFonts w:ascii="Times New Roman" w:hAnsi="Times New Roman" w:cs="Times New Roman"/>
          <w:color w:val="auto"/>
          <w:sz w:val="20"/>
          <w:szCs w:val="20"/>
        </w:rPr>
        <w:t>perational Risk</w:t>
      </w:r>
      <w:bookmarkEnd w:id="6"/>
      <w:bookmarkEnd w:id="7"/>
      <w:bookmarkEnd w:id="8"/>
      <w:r w:rsidR="004E551B" w:rsidRPr="00B47F53">
        <w:rPr>
          <w:rStyle w:val="A5"/>
          <w:rFonts w:ascii="Times New Roman" w:hAnsi="Times New Roman" w:cs="Times New Roman"/>
          <w:color w:val="auto"/>
          <w:sz w:val="20"/>
          <w:szCs w:val="20"/>
        </w:rPr>
        <w:t xml:space="preserve"> </w:t>
      </w:r>
    </w:p>
    <w:p w14:paraId="15230228" w14:textId="77777777" w:rsidR="00C24EA3" w:rsidRPr="00B47F53" w:rsidRDefault="00C24EA3" w:rsidP="005316B8">
      <w:pPr>
        <w:pStyle w:val="Pa9"/>
        <w:spacing w:line="276" w:lineRule="auto"/>
        <w:jc w:val="both"/>
        <w:rPr>
          <w:rStyle w:val="A5"/>
          <w:rFonts w:ascii="Times New Roman" w:hAnsi="Times New Roman" w:cs="Times New Roman"/>
          <w:sz w:val="20"/>
          <w:szCs w:val="20"/>
        </w:rPr>
      </w:pPr>
    </w:p>
    <w:p w14:paraId="7B166EA0" w14:textId="3BD2446C" w:rsidR="005316B8" w:rsidRPr="00B47F53" w:rsidRDefault="004E551B" w:rsidP="005316B8">
      <w:pPr>
        <w:pStyle w:val="Pa9"/>
        <w:spacing w:line="276" w:lineRule="auto"/>
        <w:jc w:val="both"/>
        <w:rPr>
          <w:rStyle w:val="A5"/>
          <w:rFonts w:ascii="Times New Roman" w:hAnsi="Times New Roman" w:cs="Times New Roman"/>
          <w:sz w:val="20"/>
          <w:szCs w:val="20"/>
        </w:rPr>
      </w:pPr>
      <w:r w:rsidRPr="00B47F53">
        <w:rPr>
          <w:rStyle w:val="A5"/>
          <w:rFonts w:ascii="Times New Roman" w:hAnsi="Times New Roman" w:cs="Times New Roman"/>
          <w:sz w:val="20"/>
          <w:szCs w:val="20"/>
        </w:rPr>
        <w:t xml:space="preserve">The bank has adopted the Basic Indicator Approach (BIA) </w:t>
      </w:r>
      <w:r w:rsidR="00547C4F" w:rsidRPr="00B47F53">
        <w:rPr>
          <w:rStyle w:val="A5"/>
          <w:rFonts w:ascii="Times New Roman" w:hAnsi="Times New Roman" w:cs="Times New Roman"/>
          <w:sz w:val="20"/>
          <w:szCs w:val="20"/>
        </w:rPr>
        <w:t xml:space="preserve">in computing Operational Risk. The </w:t>
      </w:r>
      <w:r w:rsidRPr="00B47F53">
        <w:rPr>
          <w:rStyle w:val="A5"/>
          <w:rFonts w:ascii="Times New Roman" w:hAnsi="Times New Roman" w:cs="Times New Roman"/>
          <w:sz w:val="20"/>
          <w:szCs w:val="20"/>
        </w:rPr>
        <w:t xml:space="preserve">regulatory </w:t>
      </w:r>
      <w:r w:rsidR="00CD1BB1" w:rsidRPr="00B47F53">
        <w:rPr>
          <w:rStyle w:val="A5"/>
          <w:rFonts w:ascii="Times New Roman" w:hAnsi="Times New Roman" w:cs="Times New Roman"/>
          <w:sz w:val="20"/>
          <w:szCs w:val="20"/>
        </w:rPr>
        <w:t xml:space="preserve">operational risk </w:t>
      </w:r>
      <w:r w:rsidRPr="00B47F53">
        <w:rPr>
          <w:rStyle w:val="A5"/>
          <w:rFonts w:ascii="Times New Roman" w:hAnsi="Times New Roman" w:cs="Times New Roman"/>
          <w:sz w:val="20"/>
          <w:szCs w:val="20"/>
        </w:rPr>
        <w:t xml:space="preserve">capital charge risk </w:t>
      </w:r>
      <w:r w:rsidR="00547C4F" w:rsidRPr="00B47F53">
        <w:rPr>
          <w:rStyle w:val="A5"/>
          <w:rFonts w:ascii="Times New Roman" w:hAnsi="Times New Roman" w:cs="Times New Roman"/>
          <w:sz w:val="20"/>
          <w:szCs w:val="20"/>
        </w:rPr>
        <w:t>is</w:t>
      </w:r>
      <w:r w:rsidRPr="00B47F53">
        <w:rPr>
          <w:rStyle w:val="A5"/>
          <w:rFonts w:ascii="Times New Roman" w:hAnsi="Times New Roman" w:cs="Times New Roman"/>
          <w:sz w:val="20"/>
          <w:szCs w:val="20"/>
        </w:rPr>
        <w:t xml:space="preserve"> equal to 15% of the average of the previous three years bank’s positive annual gross income. The </w:t>
      </w:r>
      <w:r w:rsidR="00F3365A" w:rsidRPr="00B47F53">
        <w:rPr>
          <w:rStyle w:val="A5"/>
          <w:rFonts w:ascii="Times New Roman" w:hAnsi="Times New Roman" w:cs="Times New Roman"/>
          <w:sz w:val="20"/>
          <w:szCs w:val="20"/>
        </w:rPr>
        <w:t>three-year</w:t>
      </w:r>
      <w:r w:rsidRPr="00B47F53">
        <w:rPr>
          <w:rStyle w:val="A5"/>
          <w:rFonts w:ascii="Times New Roman" w:hAnsi="Times New Roman" w:cs="Times New Roman"/>
          <w:sz w:val="20"/>
          <w:szCs w:val="20"/>
        </w:rPr>
        <w:t xml:space="preserve"> average gross income is calculated on the basis of the last three 12 </w:t>
      </w:r>
      <w:r w:rsidR="00547C4F" w:rsidRPr="00B47F53">
        <w:rPr>
          <w:rStyle w:val="A5"/>
          <w:rFonts w:ascii="Times New Roman" w:hAnsi="Times New Roman" w:cs="Times New Roman"/>
          <w:sz w:val="20"/>
          <w:szCs w:val="20"/>
        </w:rPr>
        <w:t>month’s</w:t>
      </w:r>
      <w:r w:rsidRPr="00B47F53">
        <w:rPr>
          <w:rStyle w:val="A5"/>
          <w:rFonts w:ascii="Times New Roman" w:hAnsi="Times New Roman" w:cs="Times New Roman"/>
          <w:sz w:val="20"/>
          <w:szCs w:val="20"/>
        </w:rPr>
        <w:t xml:space="preserve"> monthly observations at the end of the financial year. Where audited financials are not availab</w:t>
      </w:r>
      <w:r w:rsidR="00607C81" w:rsidRPr="00B47F53">
        <w:rPr>
          <w:rStyle w:val="A5"/>
          <w:rFonts w:ascii="Times New Roman" w:hAnsi="Times New Roman" w:cs="Times New Roman"/>
          <w:sz w:val="20"/>
          <w:szCs w:val="20"/>
        </w:rPr>
        <w:t>le submitted returns are used.</w:t>
      </w:r>
    </w:p>
    <w:p w14:paraId="5FB229BC" w14:textId="0A19D8D9" w:rsidR="00B47F53" w:rsidRPr="00B47F53" w:rsidRDefault="00B47F53" w:rsidP="00C639CF">
      <w:pPr>
        <w:rPr>
          <w:rFonts w:ascii="Times New Roman" w:hAnsi="Times New Roman" w:cs="Times New Roman"/>
          <w:sz w:val="20"/>
          <w:szCs w:val="20"/>
        </w:rPr>
      </w:pPr>
    </w:p>
    <w:tbl>
      <w:tblPr>
        <w:tblStyle w:val="TableGrid"/>
        <w:tblW w:w="9265" w:type="dxa"/>
        <w:tblLook w:val="04A0" w:firstRow="1" w:lastRow="0" w:firstColumn="1" w:lastColumn="0" w:noHBand="0" w:noVBand="1"/>
      </w:tblPr>
      <w:tblGrid>
        <w:gridCol w:w="6560"/>
        <w:gridCol w:w="2705"/>
      </w:tblGrid>
      <w:tr w:rsidR="00E539DA" w:rsidRPr="00B47F53" w14:paraId="2A9B2623" w14:textId="77777777" w:rsidTr="007A7870">
        <w:trPr>
          <w:trHeight w:val="300"/>
        </w:trPr>
        <w:tc>
          <w:tcPr>
            <w:tcW w:w="6560" w:type="dxa"/>
            <w:shd w:val="clear" w:color="auto" w:fill="92D050"/>
            <w:noWrap/>
            <w:hideMark/>
          </w:tcPr>
          <w:p w14:paraId="3B4B4EB1" w14:textId="77777777" w:rsidR="00E539DA" w:rsidRPr="00B47F53" w:rsidRDefault="00E539DA" w:rsidP="00E539DA">
            <w:pPr>
              <w:rPr>
                <w:rFonts w:ascii="Times New Roman" w:hAnsi="Times New Roman" w:cs="Times New Roman"/>
                <w:sz w:val="20"/>
                <w:szCs w:val="20"/>
              </w:rPr>
            </w:pPr>
            <w:r w:rsidRPr="00B47F53">
              <w:rPr>
                <w:rFonts w:ascii="Times New Roman" w:hAnsi="Times New Roman" w:cs="Times New Roman"/>
                <w:sz w:val="20"/>
                <w:szCs w:val="20"/>
              </w:rPr>
              <w:t>Year</w:t>
            </w:r>
          </w:p>
        </w:tc>
        <w:tc>
          <w:tcPr>
            <w:tcW w:w="2705" w:type="dxa"/>
            <w:shd w:val="clear" w:color="auto" w:fill="92D050"/>
            <w:noWrap/>
            <w:hideMark/>
          </w:tcPr>
          <w:p w14:paraId="5316BE9B" w14:textId="282D3097" w:rsidR="00E539DA" w:rsidRPr="00B47F53" w:rsidRDefault="00E539DA" w:rsidP="002F6EA0">
            <w:pPr>
              <w:jc w:val="center"/>
              <w:rPr>
                <w:rFonts w:ascii="Times New Roman" w:hAnsi="Times New Roman" w:cs="Times New Roman"/>
                <w:sz w:val="20"/>
                <w:szCs w:val="20"/>
              </w:rPr>
            </w:pPr>
            <w:r w:rsidRPr="00B47F53">
              <w:rPr>
                <w:rFonts w:ascii="Times New Roman" w:hAnsi="Times New Roman" w:cs="Times New Roman"/>
                <w:sz w:val="20"/>
                <w:szCs w:val="20"/>
              </w:rPr>
              <w:t>Gross Income</w:t>
            </w:r>
            <w:r w:rsidR="00F52AF9">
              <w:rPr>
                <w:rFonts w:ascii="Times New Roman" w:hAnsi="Times New Roman" w:cs="Times New Roman"/>
                <w:sz w:val="20"/>
                <w:szCs w:val="20"/>
              </w:rPr>
              <w:t xml:space="preserve"> P</w:t>
            </w:r>
            <w:r w:rsidR="002F6EA0">
              <w:rPr>
                <w:rFonts w:ascii="Times New Roman" w:hAnsi="Times New Roman" w:cs="Times New Roman"/>
                <w:sz w:val="20"/>
                <w:szCs w:val="20"/>
              </w:rPr>
              <w:t>’000</w:t>
            </w:r>
          </w:p>
        </w:tc>
      </w:tr>
      <w:tr w:rsidR="00534F3A" w:rsidRPr="00B47F53" w14:paraId="3CA68EC9" w14:textId="77777777" w:rsidTr="0069629D">
        <w:trPr>
          <w:trHeight w:val="300"/>
        </w:trPr>
        <w:tc>
          <w:tcPr>
            <w:tcW w:w="6560" w:type="dxa"/>
            <w:noWrap/>
            <w:hideMark/>
          </w:tcPr>
          <w:p w14:paraId="1D12E0C9" w14:textId="77777777" w:rsidR="00534F3A" w:rsidRPr="00B47F53" w:rsidRDefault="00534F3A" w:rsidP="00534F3A">
            <w:pPr>
              <w:rPr>
                <w:rFonts w:ascii="Times New Roman" w:hAnsi="Times New Roman" w:cs="Times New Roman"/>
                <w:sz w:val="20"/>
                <w:szCs w:val="20"/>
              </w:rPr>
            </w:pPr>
            <w:r w:rsidRPr="00B47F53">
              <w:rPr>
                <w:rFonts w:ascii="Times New Roman" w:hAnsi="Times New Roman" w:cs="Times New Roman"/>
                <w:sz w:val="20"/>
                <w:szCs w:val="20"/>
              </w:rPr>
              <w:t>1</w:t>
            </w:r>
          </w:p>
        </w:tc>
        <w:tc>
          <w:tcPr>
            <w:tcW w:w="2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65136" w14:textId="07078E0B" w:rsidR="00534F3A" w:rsidRPr="00534F3A" w:rsidRDefault="00C57F05" w:rsidP="00534F3A">
            <w:pPr>
              <w:jc w:val="right"/>
              <w:rPr>
                <w:rFonts w:ascii="Times New Roman" w:hAnsi="Times New Roman" w:cs="Times New Roman"/>
                <w:sz w:val="20"/>
                <w:szCs w:val="20"/>
              </w:rPr>
            </w:pPr>
            <w:r w:rsidRPr="00C57F05">
              <w:rPr>
                <w:rFonts w:ascii="Times New Roman" w:hAnsi="Times New Roman" w:cs="Times New Roman"/>
                <w:color w:val="000000"/>
                <w:sz w:val="20"/>
                <w:szCs w:val="20"/>
              </w:rPr>
              <w:t>223,227</w:t>
            </w:r>
          </w:p>
        </w:tc>
      </w:tr>
      <w:tr w:rsidR="00534F3A" w:rsidRPr="00B47F53" w14:paraId="24ED8EAC" w14:textId="77777777" w:rsidTr="0069629D">
        <w:trPr>
          <w:trHeight w:val="300"/>
        </w:trPr>
        <w:tc>
          <w:tcPr>
            <w:tcW w:w="6560" w:type="dxa"/>
            <w:noWrap/>
            <w:hideMark/>
          </w:tcPr>
          <w:p w14:paraId="5CC08CC2" w14:textId="77777777" w:rsidR="00534F3A" w:rsidRPr="00B47F53" w:rsidRDefault="00534F3A" w:rsidP="00534F3A">
            <w:pPr>
              <w:rPr>
                <w:rFonts w:ascii="Times New Roman" w:hAnsi="Times New Roman" w:cs="Times New Roman"/>
                <w:sz w:val="20"/>
                <w:szCs w:val="20"/>
              </w:rPr>
            </w:pPr>
            <w:r w:rsidRPr="00B47F53">
              <w:rPr>
                <w:rFonts w:ascii="Times New Roman" w:hAnsi="Times New Roman" w:cs="Times New Roman"/>
                <w:sz w:val="20"/>
                <w:szCs w:val="20"/>
              </w:rPr>
              <w:t>2</w:t>
            </w:r>
          </w:p>
        </w:tc>
        <w:tc>
          <w:tcPr>
            <w:tcW w:w="2705" w:type="dxa"/>
            <w:tcBorders>
              <w:top w:val="nil"/>
              <w:left w:val="single" w:sz="4" w:space="0" w:color="auto"/>
              <w:bottom w:val="single" w:sz="4" w:space="0" w:color="auto"/>
              <w:right w:val="single" w:sz="4" w:space="0" w:color="auto"/>
            </w:tcBorders>
            <w:shd w:val="clear" w:color="auto" w:fill="auto"/>
            <w:noWrap/>
            <w:vAlign w:val="center"/>
            <w:hideMark/>
          </w:tcPr>
          <w:p w14:paraId="61E4E337" w14:textId="211B496A" w:rsidR="00534F3A" w:rsidRPr="00534F3A" w:rsidRDefault="00C57F05" w:rsidP="00534F3A">
            <w:pPr>
              <w:jc w:val="right"/>
              <w:rPr>
                <w:rFonts w:ascii="Times New Roman" w:hAnsi="Times New Roman" w:cs="Times New Roman"/>
                <w:sz w:val="20"/>
                <w:szCs w:val="20"/>
              </w:rPr>
            </w:pPr>
            <w:r w:rsidRPr="00C57F05">
              <w:rPr>
                <w:rFonts w:ascii="Times New Roman" w:hAnsi="Times New Roman" w:cs="Times New Roman"/>
                <w:color w:val="000000"/>
                <w:sz w:val="20"/>
                <w:szCs w:val="20"/>
              </w:rPr>
              <w:t>279,117</w:t>
            </w:r>
          </w:p>
        </w:tc>
      </w:tr>
      <w:tr w:rsidR="00534F3A" w:rsidRPr="00B47F53" w14:paraId="2EE2754C" w14:textId="77777777" w:rsidTr="0069629D">
        <w:trPr>
          <w:trHeight w:val="300"/>
        </w:trPr>
        <w:tc>
          <w:tcPr>
            <w:tcW w:w="6560" w:type="dxa"/>
            <w:noWrap/>
            <w:hideMark/>
          </w:tcPr>
          <w:p w14:paraId="48872038" w14:textId="77777777" w:rsidR="00534F3A" w:rsidRPr="00B47F53" w:rsidRDefault="00534F3A" w:rsidP="00534F3A">
            <w:pPr>
              <w:rPr>
                <w:rFonts w:ascii="Times New Roman" w:hAnsi="Times New Roman" w:cs="Times New Roman"/>
                <w:sz w:val="20"/>
                <w:szCs w:val="20"/>
              </w:rPr>
            </w:pPr>
            <w:r w:rsidRPr="00B47F53">
              <w:rPr>
                <w:rFonts w:ascii="Times New Roman" w:hAnsi="Times New Roman" w:cs="Times New Roman"/>
                <w:sz w:val="20"/>
                <w:szCs w:val="20"/>
              </w:rPr>
              <w:t>3</w:t>
            </w:r>
          </w:p>
        </w:tc>
        <w:tc>
          <w:tcPr>
            <w:tcW w:w="2705" w:type="dxa"/>
            <w:tcBorders>
              <w:top w:val="nil"/>
              <w:left w:val="single" w:sz="4" w:space="0" w:color="auto"/>
              <w:bottom w:val="single" w:sz="4" w:space="0" w:color="auto"/>
              <w:right w:val="single" w:sz="4" w:space="0" w:color="auto"/>
            </w:tcBorders>
            <w:shd w:val="clear" w:color="auto" w:fill="auto"/>
            <w:noWrap/>
            <w:vAlign w:val="center"/>
            <w:hideMark/>
          </w:tcPr>
          <w:p w14:paraId="02EBE5FB" w14:textId="0216F6B6" w:rsidR="00534F3A" w:rsidRPr="00534F3A" w:rsidRDefault="00C57F05" w:rsidP="00534F3A">
            <w:pPr>
              <w:jc w:val="right"/>
              <w:rPr>
                <w:rFonts w:ascii="Times New Roman" w:hAnsi="Times New Roman" w:cs="Times New Roman"/>
                <w:sz w:val="20"/>
                <w:szCs w:val="20"/>
              </w:rPr>
            </w:pPr>
            <w:r w:rsidRPr="00C57F05">
              <w:rPr>
                <w:rFonts w:ascii="Times New Roman" w:hAnsi="Times New Roman" w:cs="Times New Roman"/>
                <w:color w:val="000000"/>
                <w:sz w:val="20"/>
                <w:szCs w:val="20"/>
              </w:rPr>
              <w:t>335,960</w:t>
            </w:r>
          </w:p>
        </w:tc>
      </w:tr>
      <w:tr w:rsidR="00534F3A" w:rsidRPr="00B47F53" w14:paraId="637392BD" w14:textId="77777777" w:rsidTr="0069629D">
        <w:trPr>
          <w:trHeight w:val="300"/>
        </w:trPr>
        <w:tc>
          <w:tcPr>
            <w:tcW w:w="6560" w:type="dxa"/>
            <w:noWrap/>
            <w:hideMark/>
          </w:tcPr>
          <w:p w14:paraId="40BAB768" w14:textId="77777777" w:rsidR="00534F3A" w:rsidRPr="00B47F53" w:rsidRDefault="00534F3A" w:rsidP="00534F3A">
            <w:pPr>
              <w:rPr>
                <w:rFonts w:ascii="Times New Roman" w:hAnsi="Times New Roman" w:cs="Times New Roman"/>
                <w:sz w:val="20"/>
                <w:szCs w:val="20"/>
              </w:rPr>
            </w:pPr>
            <w:r w:rsidRPr="00B47F53">
              <w:rPr>
                <w:rFonts w:ascii="Times New Roman" w:hAnsi="Times New Roman" w:cs="Times New Roman"/>
                <w:sz w:val="20"/>
                <w:szCs w:val="20"/>
              </w:rPr>
              <w:t>Total Gross Income</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561AF69C" w14:textId="1F88E4BD" w:rsidR="00534F3A" w:rsidRPr="00534F3A" w:rsidRDefault="00C92FD7" w:rsidP="00534F3A">
            <w:pPr>
              <w:jc w:val="right"/>
              <w:rPr>
                <w:rFonts w:ascii="Times New Roman" w:hAnsi="Times New Roman" w:cs="Times New Roman"/>
                <w:sz w:val="20"/>
                <w:szCs w:val="20"/>
              </w:rPr>
            </w:pPr>
            <w:r w:rsidRPr="00C92FD7">
              <w:rPr>
                <w:rFonts w:ascii="Times New Roman" w:hAnsi="Times New Roman" w:cs="Times New Roman"/>
                <w:b/>
                <w:bCs/>
                <w:color w:val="000000"/>
                <w:sz w:val="20"/>
                <w:szCs w:val="20"/>
              </w:rPr>
              <w:t>838,305</w:t>
            </w:r>
          </w:p>
        </w:tc>
      </w:tr>
      <w:tr w:rsidR="00534F3A" w:rsidRPr="00B47F53" w14:paraId="709A6E8B" w14:textId="77777777" w:rsidTr="0069629D">
        <w:trPr>
          <w:trHeight w:val="300"/>
        </w:trPr>
        <w:tc>
          <w:tcPr>
            <w:tcW w:w="6560" w:type="dxa"/>
            <w:hideMark/>
          </w:tcPr>
          <w:p w14:paraId="63D15538" w14:textId="77777777" w:rsidR="00534F3A" w:rsidRPr="00B47F53" w:rsidRDefault="00534F3A" w:rsidP="00534F3A">
            <w:pPr>
              <w:rPr>
                <w:rFonts w:ascii="Times New Roman" w:hAnsi="Times New Roman" w:cs="Times New Roman"/>
                <w:sz w:val="20"/>
                <w:szCs w:val="20"/>
              </w:rPr>
            </w:pPr>
            <w:r w:rsidRPr="00B47F53">
              <w:rPr>
                <w:rFonts w:ascii="Times New Roman" w:hAnsi="Times New Roman" w:cs="Times New Roman"/>
                <w:sz w:val="20"/>
                <w:szCs w:val="20"/>
              </w:rPr>
              <w:t>operational risk factor -denoted alpha (α)</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70BF2925" w14:textId="7EA67EC0" w:rsidR="00534F3A" w:rsidRPr="00534F3A" w:rsidRDefault="00534F3A" w:rsidP="00534F3A">
            <w:pPr>
              <w:jc w:val="right"/>
              <w:rPr>
                <w:rFonts w:ascii="Times New Roman" w:hAnsi="Times New Roman" w:cs="Times New Roman"/>
                <w:sz w:val="20"/>
                <w:szCs w:val="20"/>
              </w:rPr>
            </w:pPr>
            <w:r w:rsidRPr="00534F3A">
              <w:rPr>
                <w:rFonts w:ascii="Times New Roman" w:hAnsi="Times New Roman" w:cs="Times New Roman"/>
                <w:color w:val="000000"/>
                <w:sz w:val="20"/>
                <w:szCs w:val="20"/>
              </w:rPr>
              <w:t>15%</w:t>
            </w:r>
          </w:p>
        </w:tc>
      </w:tr>
      <w:tr w:rsidR="00534F3A" w:rsidRPr="00B47F53" w14:paraId="5721DAFB" w14:textId="77777777" w:rsidTr="0069629D">
        <w:trPr>
          <w:trHeight w:val="300"/>
        </w:trPr>
        <w:tc>
          <w:tcPr>
            <w:tcW w:w="6560" w:type="dxa"/>
            <w:noWrap/>
            <w:hideMark/>
          </w:tcPr>
          <w:p w14:paraId="6F8FBF4F" w14:textId="77777777" w:rsidR="00534F3A" w:rsidRPr="00B47F53" w:rsidRDefault="00534F3A" w:rsidP="00534F3A">
            <w:pPr>
              <w:rPr>
                <w:rFonts w:ascii="Times New Roman" w:hAnsi="Times New Roman" w:cs="Times New Roman"/>
                <w:sz w:val="20"/>
                <w:szCs w:val="20"/>
              </w:rPr>
            </w:pPr>
            <w:r w:rsidRPr="00B47F53">
              <w:rPr>
                <w:rFonts w:ascii="Times New Roman" w:hAnsi="Times New Roman" w:cs="Times New Roman"/>
                <w:sz w:val="20"/>
                <w:szCs w:val="20"/>
              </w:rPr>
              <w:t>Aggregate Gross Income multiplied by α</w:t>
            </w:r>
          </w:p>
        </w:tc>
        <w:tc>
          <w:tcPr>
            <w:tcW w:w="2705" w:type="dxa"/>
            <w:tcBorders>
              <w:top w:val="nil"/>
              <w:left w:val="single" w:sz="4" w:space="0" w:color="auto"/>
              <w:bottom w:val="single" w:sz="4" w:space="0" w:color="auto"/>
              <w:right w:val="single" w:sz="4" w:space="0" w:color="auto"/>
            </w:tcBorders>
            <w:shd w:val="clear" w:color="auto" w:fill="auto"/>
            <w:noWrap/>
            <w:vAlign w:val="center"/>
            <w:hideMark/>
          </w:tcPr>
          <w:p w14:paraId="78AB1A6E" w14:textId="3FDB5058" w:rsidR="00534F3A" w:rsidRPr="00534F3A" w:rsidRDefault="00C92FD7" w:rsidP="00534F3A">
            <w:pPr>
              <w:jc w:val="right"/>
              <w:rPr>
                <w:rFonts w:ascii="Times New Roman" w:hAnsi="Times New Roman" w:cs="Times New Roman"/>
                <w:sz w:val="20"/>
                <w:szCs w:val="20"/>
              </w:rPr>
            </w:pPr>
            <w:r w:rsidRPr="00C92FD7">
              <w:rPr>
                <w:rFonts w:ascii="Times New Roman" w:hAnsi="Times New Roman" w:cs="Times New Roman"/>
                <w:color w:val="000000"/>
                <w:sz w:val="20"/>
                <w:szCs w:val="20"/>
              </w:rPr>
              <w:t>125,746</w:t>
            </w:r>
          </w:p>
        </w:tc>
      </w:tr>
      <w:tr w:rsidR="00534F3A" w:rsidRPr="00B47F53" w14:paraId="727BE866" w14:textId="77777777" w:rsidTr="0069629D">
        <w:trPr>
          <w:trHeight w:val="300"/>
        </w:trPr>
        <w:tc>
          <w:tcPr>
            <w:tcW w:w="6560" w:type="dxa"/>
            <w:noWrap/>
            <w:hideMark/>
          </w:tcPr>
          <w:p w14:paraId="48DAB41D" w14:textId="77777777" w:rsidR="00534F3A" w:rsidRPr="00B47F53" w:rsidRDefault="00534F3A" w:rsidP="00534F3A">
            <w:pPr>
              <w:rPr>
                <w:rFonts w:ascii="Times New Roman" w:hAnsi="Times New Roman" w:cs="Times New Roman"/>
                <w:sz w:val="20"/>
                <w:szCs w:val="20"/>
              </w:rPr>
            </w:pPr>
            <w:r w:rsidRPr="00B47F53">
              <w:rPr>
                <w:rFonts w:ascii="Times New Roman" w:hAnsi="Times New Roman" w:cs="Times New Roman"/>
                <w:sz w:val="20"/>
                <w:szCs w:val="20"/>
              </w:rPr>
              <w:t>No. of years with Positive Gross Income (n)</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093C89B7" w14:textId="15AC7CA9" w:rsidR="00534F3A" w:rsidRPr="00534F3A" w:rsidRDefault="00534F3A" w:rsidP="00534F3A">
            <w:pPr>
              <w:jc w:val="right"/>
              <w:rPr>
                <w:rFonts w:ascii="Times New Roman" w:hAnsi="Times New Roman" w:cs="Times New Roman"/>
                <w:sz w:val="20"/>
                <w:szCs w:val="20"/>
              </w:rPr>
            </w:pPr>
            <w:r w:rsidRPr="00534F3A">
              <w:rPr>
                <w:rFonts w:ascii="Times New Roman" w:hAnsi="Times New Roman" w:cs="Times New Roman"/>
                <w:color w:val="000000"/>
                <w:sz w:val="20"/>
                <w:szCs w:val="20"/>
              </w:rPr>
              <w:t>3</w:t>
            </w:r>
          </w:p>
        </w:tc>
      </w:tr>
      <w:tr w:rsidR="00534F3A" w:rsidRPr="00B47F53" w14:paraId="271D85B7" w14:textId="77777777" w:rsidTr="0069629D">
        <w:trPr>
          <w:trHeight w:val="300"/>
        </w:trPr>
        <w:tc>
          <w:tcPr>
            <w:tcW w:w="6560" w:type="dxa"/>
            <w:noWrap/>
            <w:hideMark/>
          </w:tcPr>
          <w:p w14:paraId="168F96BB" w14:textId="77777777" w:rsidR="00534F3A" w:rsidRPr="00B47F53" w:rsidRDefault="00534F3A" w:rsidP="00534F3A">
            <w:pPr>
              <w:rPr>
                <w:rFonts w:ascii="Times New Roman" w:hAnsi="Times New Roman" w:cs="Times New Roman"/>
                <w:sz w:val="20"/>
                <w:szCs w:val="20"/>
              </w:rPr>
            </w:pPr>
            <w:r w:rsidRPr="00B47F53">
              <w:rPr>
                <w:rFonts w:ascii="Times New Roman" w:hAnsi="Times New Roman" w:cs="Times New Roman"/>
                <w:sz w:val="20"/>
                <w:szCs w:val="20"/>
              </w:rPr>
              <w:t>Operational Risk Capital Charge: BIA</w:t>
            </w:r>
          </w:p>
        </w:tc>
        <w:tc>
          <w:tcPr>
            <w:tcW w:w="2705" w:type="dxa"/>
            <w:tcBorders>
              <w:top w:val="nil"/>
              <w:left w:val="single" w:sz="4" w:space="0" w:color="auto"/>
              <w:bottom w:val="single" w:sz="4" w:space="0" w:color="auto"/>
              <w:right w:val="single" w:sz="4" w:space="0" w:color="auto"/>
            </w:tcBorders>
            <w:shd w:val="clear" w:color="auto" w:fill="auto"/>
            <w:noWrap/>
            <w:vAlign w:val="center"/>
            <w:hideMark/>
          </w:tcPr>
          <w:p w14:paraId="1D963936" w14:textId="318258FB" w:rsidR="00534F3A" w:rsidRPr="00534F3A" w:rsidRDefault="00C92FD7" w:rsidP="00534F3A">
            <w:pPr>
              <w:jc w:val="right"/>
              <w:rPr>
                <w:rFonts w:ascii="Times New Roman" w:hAnsi="Times New Roman" w:cs="Times New Roman"/>
                <w:sz w:val="20"/>
                <w:szCs w:val="20"/>
              </w:rPr>
            </w:pPr>
            <w:r w:rsidRPr="00C92FD7">
              <w:rPr>
                <w:rFonts w:ascii="Times New Roman" w:hAnsi="Times New Roman" w:cs="Times New Roman"/>
                <w:color w:val="000000"/>
                <w:sz w:val="20"/>
                <w:szCs w:val="20"/>
              </w:rPr>
              <w:t>41,915</w:t>
            </w:r>
          </w:p>
        </w:tc>
      </w:tr>
      <w:tr w:rsidR="00534F3A" w:rsidRPr="00B47F53" w14:paraId="50F6FB47" w14:textId="77777777" w:rsidTr="0069629D">
        <w:trPr>
          <w:trHeight w:val="300"/>
        </w:trPr>
        <w:tc>
          <w:tcPr>
            <w:tcW w:w="6560" w:type="dxa"/>
            <w:noWrap/>
            <w:hideMark/>
          </w:tcPr>
          <w:p w14:paraId="329F80B1" w14:textId="77777777" w:rsidR="00534F3A" w:rsidRPr="00B47F53" w:rsidRDefault="00534F3A" w:rsidP="00534F3A">
            <w:pPr>
              <w:rPr>
                <w:rFonts w:ascii="Times New Roman" w:hAnsi="Times New Roman" w:cs="Times New Roman"/>
                <w:sz w:val="20"/>
                <w:szCs w:val="20"/>
              </w:rPr>
            </w:pPr>
            <w:r w:rsidRPr="00B47F53">
              <w:rPr>
                <w:rFonts w:ascii="Times New Roman" w:hAnsi="Times New Roman" w:cs="Times New Roman"/>
                <w:sz w:val="20"/>
                <w:szCs w:val="20"/>
              </w:rPr>
              <w:t>Risk weight factor</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2C18DD85" w14:textId="3EE6E17F" w:rsidR="00534F3A" w:rsidRPr="00534F3A" w:rsidRDefault="00534F3A" w:rsidP="00534F3A">
            <w:pPr>
              <w:jc w:val="right"/>
              <w:rPr>
                <w:rFonts w:ascii="Times New Roman" w:hAnsi="Times New Roman" w:cs="Times New Roman"/>
                <w:sz w:val="20"/>
                <w:szCs w:val="20"/>
              </w:rPr>
            </w:pPr>
            <w:r w:rsidRPr="00534F3A">
              <w:rPr>
                <w:rFonts w:ascii="Times New Roman" w:hAnsi="Times New Roman" w:cs="Times New Roman"/>
                <w:color w:val="000000"/>
                <w:sz w:val="20"/>
                <w:szCs w:val="20"/>
              </w:rPr>
              <w:t>6.7</w:t>
            </w:r>
          </w:p>
        </w:tc>
      </w:tr>
      <w:tr w:rsidR="00534F3A" w:rsidRPr="00B47F53" w14:paraId="3154562D" w14:textId="77777777" w:rsidTr="0069629D">
        <w:trPr>
          <w:trHeight w:val="300"/>
        </w:trPr>
        <w:tc>
          <w:tcPr>
            <w:tcW w:w="6560" w:type="dxa"/>
            <w:noWrap/>
            <w:hideMark/>
          </w:tcPr>
          <w:p w14:paraId="2E12A2F8" w14:textId="77777777" w:rsidR="00534F3A" w:rsidRPr="00B47F53" w:rsidRDefault="00534F3A" w:rsidP="00534F3A">
            <w:pPr>
              <w:rPr>
                <w:rFonts w:ascii="Times New Roman" w:hAnsi="Times New Roman" w:cs="Times New Roman"/>
                <w:b/>
                <w:sz w:val="20"/>
                <w:szCs w:val="20"/>
              </w:rPr>
            </w:pPr>
            <w:r w:rsidRPr="00B47F53">
              <w:rPr>
                <w:rFonts w:ascii="Times New Roman" w:hAnsi="Times New Roman" w:cs="Times New Roman"/>
                <w:b/>
                <w:sz w:val="20"/>
                <w:szCs w:val="20"/>
              </w:rPr>
              <w:t>Operational risk weight assets</w:t>
            </w:r>
          </w:p>
        </w:tc>
        <w:tc>
          <w:tcPr>
            <w:tcW w:w="2705" w:type="dxa"/>
            <w:tcBorders>
              <w:top w:val="nil"/>
              <w:left w:val="single" w:sz="4" w:space="0" w:color="auto"/>
              <w:bottom w:val="single" w:sz="4" w:space="0" w:color="auto"/>
              <w:right w:val="single" w:sz="4" w:space="0" w:color="auto"/>
            </w:tcBorders>
            <w:shd w:val="clear" w:color="auto" w:fill="auto"/>
            <w:noWrap/>
            <w:vAlign w:val="center"/>
            <w:hideMark/>
          </w:tcPr>
          <w:p w14:paraId="1C02C535" w14:textId="3D10DB4A" w:rsidR="00534F3A" w:rsidRPr="005C377E" w:rsidRDefault="00C92FD7" w:rsidP="00534F3A">
            <w:pPr>
              <w:jc w:val="right"/>
              <w:rPr>
                <w:rFonts w:ascii="Times New Roman" w:hAnsi="Times New Roman" w:cs="Times New Roman"/>
                <w:b/>
                <w:bCs/>
                <w:sz w:val="20"/>
                <w:szCs w:val="20"/>
              </w:rPr>
            </w:pPr>
            <w:r w:rsidRPr="00C92FD7">
              <w:rPr>
                <w:rFonts w:ascii="Times New Roman" w:hAnsi="Times New Roman" w:cs="Times New Roman"/>
                <w:b/>
                <w:bCs/>
                <w:color w:val="000000"/>
                <w:sz w:val="20"/>
                <w:szCs w:val="20"/>
              </w:rPr>
              <w:t>280,832</w:t>
            </w:r>
          </w:p>
        </w:tc>
      </w:tr>
    </w:tbl>
    <w:p w14:paraId="1F98EED1" w14:textId="77777777" w:rsidR="00504E12" w:rsidRPr="00B47F53" w:rsidRDefault="00504E12" w:rsidP="00F8167B">
      <w:pPr>
        <w:jc w:val="both"/>
        <w:rPr>
          <w:rStyle w:val="A5"/>
          <w:rFonts w:ascii="Times New Roman" w:hAnsi="Times New Roman" w:cs="Times New Roman"/>
          <w:sz w:val="20"/>
          <w:szCs w:val="20"/>
        </w:rPr>
      </w:pPr>
    </w:p>
    <w:p w14:paraId="7F3BE65A" w14:textId="77777777" w:rsidR="008D43E6" w:rsidRPr="00EB3BFE" w:rsidRDefault="00B57589" w:rsidP="00390264">
      <w:pPr>
        <w:pStyle w:val="ListParagraph"/>
        <w:numPr>
          <w:ilvl w:val="0"/>
          <w:numId w:val="12"/>
        </w:numPr>
        <w:jc w:val="both"/>
        <w:rPr>
          <w:rFonts w:ascii="Times New Roman" w:hAnsi="Times New Roman" w:cs="Times New Roman"/>
          <w:sz w:val="20"/>
          <w:szCs w:val="20"/>
        </w:rPr>
      </w:pPr>
      <w:r w:rsidRPr="00B47F53">
        <w:rPr>
          <w:rStyle w:val="A5"/>
          <w:rFonts w:ascii="Times New Roman" w:hAnsi="Times New Roman" w:cs="Times New Roman"/>
          <w:b/>
          <w:sz w:val="20"/>
          <w:szCs w:val="20"/>
        </w:rPr>
        <w:t>Total and Tier I Capital ratios:</w:t>
      </w:r>
      <w:bookmarkStart w:id="9" w:name="_Toc517881641"/>
      <w:bookmarkStart w:id="10" w:name="_Toc517952996"/>
      <w:bookmarkStart w:id="11" w:name="_Toc519240737"/>
      <w:bookmarkStart w:id="12" w:name="_Toc519241599"/>
      <w:r w:rsidR="008D43E6" w:rsidRPr="00EB3BFE">
        <w:rPr>
          <w:rStyle w:val="A5"/>
          <w:rFonts w:ascii="Times New Roman" w:hAnsi="Times New Roman" w:cs="Times New Roman"/>
          <w:color w:val="auto"/>
          <w:sz w:val="20"/>
          <w:szCs w:val="20"/>
        </w:rPr>
        <w:fldChar w:fldCharType="begin"/>
      </w:r>
      <w:r w:rsidR="008D43E6" w:rsidRPr="00EB3BFE">
        <w:rPr>
          <w:rStyle w:val="A5"/>
          <w:rFonts w:ascii="Times New Roman" w:hAnsi="Times New Roman" w:cs="Times New Roman"/>
          <w:color w:val="auto"/>
          <w:sz w:val="20"/>
          <w:szCs w:val="20"/>
        </w:rPr>
        <w:instrText xml:space="preserve"> LINK </w:instrText>
      </w:r>
      <w:r w:rsidR="007D2481" w:rsidRPr="00EB3BFE">
        <w:rPr>
          <w:rStyle w:val="A5"/>
          <w:rFonts w:ascii="Times New Roman" w:hAnsi="Times New Roman" w:cs="Times New Roman"/>
          <w:color w:val="auto"/>
          <w:sz w:val="20"/>
          <w:szCs w:val="20"/>
        </w:rPr>
        <w:instrText xml:space="preserve">Excel.Sheet.12 "\\\\cbbwfilestore\\finance\\Market Disclosures (Pillar III)\\2019\\June 2019\\Capital Market Disclosures (Pillar III) - 30 June 2019.xlsx" "Capital Ratios!R1C1:R7C3" </w:instrText>
      </w:r>
      <w:r w:rsidR="008D43E6" w:rsidRPr="00EB3BFE">
        <w:rPr>
          <w:rStyle w:val="A5"/>
          <w:rFonts w:ascii="Times New Roman" w:hAnsi="Times New Roman" w:cs="Times New Roman"/>
          <w:color w:val="auto"/>
          <w:sz w:val="20"/>
          <w:szCs w:val="20"/>
        </w:rPr>
        <w:instrText xml:space="preserve">\a \f 4 \h </w:instrText>
      </w:r>
      <w:r w:rsidR="00FF4116" w:rsidRPr="00EB3BFE">
        <w:rPr>
          <w:rStyle w:val="A5"/>
          <w:rFonts w:ascii="Times New Roman" w:hAnsi="Times New Roman" w:cs="Times New Roman"/>
          <w:color w:val="auto"/>
          <w:sz w:val="20"/>
          <w:szCs w:val="20"/>
        </w:rPr>
        <w:instrText xml:space="preserve"> \* MERGEFORMAT </w:instrText>
      </w:r>
      <w:r w:rsidR="008D43E6" w:rsidRPr="00EB3BFE">
        <w:rPr>
          <w:rStyle w:val="A5"/>
          <w:rFonts w:ascii="Times New Roman" w:hAnsi="Times New Roman" w:cs="Times New Roman"/>
          <w:color w:val="auto"/>
          <w:sz w:val="20"/>
          <w:szCs w:val="20"/>
        </w:rPr>
        <w:fldChar w:fldCharType="separate"/>
      </w:r>
    </w:p>
    <w:tbl>
      <w:tblPr>
        <w:tblW w:w="9152" w:type="dxa"/>
        <w:tblInd w:w="108" w:type="dxa"/>
        <w:tblLook w:val="04A0" w:firstRow="1" w:lastRow="0" w:firstColumn="1" w:lastColumn="0" w:noHBand="0" w:noVBand="1"/>
      </w:tblPr>
      <w:tblGrid>
        <w:gridCol w:w="2834"/>
        <w:gridCol w:w="3285"/>
        <w:gridCol w:w="3033"/>
      </w:tblGrid>
      <w:tr w:rsidR="004A096A" w:rsidRPr="00EB3BFE" w14:paraId="733AA446" w14:textId="77777777" w:rsidTr="00677641">
        <w:trPr>
          <w:trHeight w:val="536"/>
        </w:trPr>
        <w:tc>
          <w:tcPr>
            <w:tcW w:w="2834" w:type="dxa"/>
            <w:tcBorders>
              <w:top w:val="single" w:sz="8" w:space="0" w:color="auto"/>
              <w:left w:val="single" w:sz="8" w:space="0" w:color="auto"/>
              <w:bottom w:val="single" w:sz="8" w:space="0" w:color="auto"/>
              <w:right w:val="single" w:sz="8" w:space="0" w:color="auto"/>
            </w:tcBorders>
            <w:shd w:val="clear" w:color="000000" w:fill="92D050"/>
          </w:tcPr>
          <w:p w14:paraId="3801080D" w14:textId="2191F87B" w:rsidR="004A096A" w:rsidRPr="00EB3BFE" w:rsidRDefault="004A096A" w:rsidP="004A096A">
            <w:pPr>
              <w:rPr>
                <w:rFonts w:ascii="Times New Roman" w:hAnsi="Times New Roman" w:cs="Times New Roman"/>
                <w:b/>
                <w:bCs/>
                <w:sz w:val="20"/>
                <w:szCs w:val="20"/>
              </w:rPr>
            </w:pPr>
            <w:r w:rsidRPr="00EB3BFE">
              <w:rPr>
                <w:rFonts w:ascii="Times New Roman" w:hAnsi="Times New Roman" w:cs="Times New Roman"/>
                <w:b/>
                <w:bCs/>
                <w:sz w:val="20"/>
                <w:szCs w:val="20"/>
              </w:rPr>
              <w:t>Capital</w:t>
            </w:r>
          </w:p>
        </w:tc>
        <w:tc>
          <w:tcPr>
            <w:tcW w:w="3285" w:type="dxa"/>
            <w:tcBorders>
              <w:top w:val="single" w:sz="8" w:space="0" w:color="auto"/>
              <w:left w:val="nil"/>
              <w:bottom w:val="single" w:sz="8" w:space="0" w:color="auto"/>
              <w:right w:val="single" w:sz="8" w:space="0" w:color="auto"/>
            </w:tcBorders>
            <w:shd w:val="clear" w:color="000000" w:fill="92D050"/>
          </w:tcPr>
          <w:p w14:paraId="1A9EB038" w14:textId="2C85B532" w:rsidR="004A096A" w:rsidRPr="00EB3BFE" w:rsidRDefault="004A096A" w:rsidP="004A096A">
            <w:pPr>
              <w:rPr>
                <w:rFonts w:ascii="Times New Roman" w:hAnsi="Times New Roman" w:cs="Times New Roman"/>
                <w:b/>
                <w:bCs/>
                <w:sz w:val="20"/>
                <w:szCs w:val="20"/>
              </w:rPr>
            </w:pPr>
            <w:r w:rsidRPr="00EB3BFE">
              <w:rPr>
                <w:rFonts w:ascii="Times New Roman" w:hAnsi="Times New Roman" w:cs="Times New Roman"/>
                <w:b/>
                <w:bCs/>
                <w:sz w:val="20"/>
                <w:szCs w:val="20"/>
              </w:rPr>
              <w:t>Transitional Adjustment Capital Ratios</w:t>
            </w:r>
            <w:r w:rsidR="00941520">
              <w:rPr>
                <w:rFonts w:ascii="Times New Roman" w:hAnsi="Times New Roman" w:cs="Times New Roman"/>
                <w:b/>
                <w:bCs/>
                <w:sz w:val="20"/>
                <w:szCs w:val="20"/>
              </w:rPr>
              <w:t xml:space="preserve"> (P'000)</w:t>
            </w:r>
          </w:p>
        </w:tc>
        <w:tc>
          <w:tcPr>
            <w:tcW w:w="3033" w:type="dxa"/>
            <w:tcBorders>
              <w:top w:val="single" w:sz="8" w:space="0" w:color="auto"/>
              <w:left w:val="nil"/>
              <w:bottom w:val="single" w:sz="8" w:space="0" w:color="auto"/>
              <w:right w:val="single" w:sz="8" w:space="0" w:color="auto"/>
            </w:tcBorders>
            <w:shd w:val="clear" w:color="000000" w:fill="92D050"/>
          </w:tcPr>
          <w:p w14:paraId="54DB117C" w14:textId="6A85E4E6" w:rsidR="004A096A" w:rsidRPr="00EB3BFE" w:rsidRDefault="004A096A" w:rsidP="004A096A">
            <w:pPr>
              <w:rPr>
                <w:rFonts w:ascii="Times New Roman" w:hAnsi="Times New Roman" w:cs="Times New Roman"/>
                <w:b/>
                <w:bCs/>
                <w:sz w:val="20"/>
                <w:szCs w:val="20"/>
              </w:rPr>
            </w:pPr>
            <w:r w:rsidRPr="00EB3BFE">
              <w:rPr>
                <w:rFonts w:ascii="Times New Roman" w:hAnsi="Times New Roman" w:cs="Times New Roman"/>
                <w:b/>
                <w:bCs/>
                <w:sz w:val="20"/>
                <w:szCs w:val="20"/>
              </w:rPr>
              <w:t>Fully Loaded Capital Ratios</w:t>
            </w:r>
            <w:r w:rsidR="00BC69DC">
              <w:rPr>
                <w:rFonts w:ascii="Times New Roman" w:hAnsi="Times New Roman" w:cs="Times New Roman"/>
                <w:b/>
                <w:bCs/>
                <w:sz w:val="20"/>
                <w:szCs w:val="20"/>
              </w:rPr>
              <w:t xml:space="preserve"> (P'000)</w:t>
            </w:r>
          </w:p>
        </w:tc>
      </w:tr>
      <w:tr w:rsidR="006F65A0" w:rsidRPr="00EB3BFE" w14:paraId="40B0F522" w14:textId="77777777" w:rsidTr="00677641">
        <w:trPr>
          <w:trHeight w:val="337"/>
        </w:trPr>
        <w:tc>
          <w:tcPr>
            <w:tcW w:w="2834" w:type="dxa"/>
            <w:tcBorders>
              <w:top w:val="nil"/>
              <w:left w:val="single" w:sz="8" w:space="0" w:color="auto"/>
              <w:bottom w:val="single" w:sz="8" w:space="0" w:color="auto"/>
              <w:right w:val="single" w:sz="8" w:space="0" w:color="auto"/>
            </w:tcBorders>
            <w:shd w:val="clear" w:color="auto" w:fill="auto"/>
            <w:vAlign w:val="bottom"/>
          </w:tcPr>
          <w:p w14:paraId="2BBD16A7" w14:textId="2F08896D" w:rsidR="006F65A0" w:rsidRPr="007600E4" w:rsidRDefault="006F65A0" w:rsidP="006F65A0">
            <w:pPr>
              <w:spacing w:after="0" w:line="240" w:lineRule="auto"/>
              <w:rPr>
                <w:rFonts w:ascii="Times New Roman" w:hAnsi="Times New Roman" w:cs="Times New Roman"/>
                <w:sz w:val="20"/>
                <w:szCs w:val="20"/>
              </w:rPr>
            </w:pPr>
            <w:r w:rsidRPr="007600E4">
              <w:rPr>
                <w:rFonts w:ascii="Times New Roman" w:hAnsi="Times New Roman" w:cs="Times New Roman"/>
                <w:sz w:val="20"/>
                <w:szCs w:val="20"/>
              </w:rPr>
              <w:t>Tier I Capital</w:t>
            </w:r>
          </w:p>
        </w:tc>
        <w:tc>
          <w:tcPr>
            <w:tcW w:w="3285" w:type="dxa"/>
            <w:tcBorders>
              <w:top w:val="nil"/>
              <w:left w:val="nil"/>
              <w:bottom w:val="single" w:sz="8" w:space="0" w:color="auto"/>
              <w:right w:val="single" w:sz="8" w:space="0" w:color="auto"/>
            </w:tcBorders>
            <w:shd w:val="clear" w:color="auto" w:fill="auto"/>
            <w:noWrap/>
            <w:vAlign w:val="bottom"/>
          </w:tcPr>
          <w:p w14:paraId="101ADD03" w14:textId="4AB98CE9" w:rsidR="006F65A0" w:rsidRPr="000B44AB" w:rsidRDefault="00C92FD7" w:rsidP="006F65A0">
            <w:pPr>
              <w:jc w:val="right"/>
              <w:rPr>
                <w:rFonts w:ascii="Times New Roman" w:hAnsi="Times New Roman" w:cs="Times New Roman"/>
                <w:sz w:val="20"/>
                <w:szCs w:val="20"/>
              </w:rPr>
            </w:pPr>
            <w:r w:rsidRPr="00C92FD7">
              <w:rPr>
                <w:rFonts w:ascii="Times New Roman" w:hAnsi="Times New Roman" w:cs="Times New Roman"/>
                <w:color w:val="000000"/>
                <w:sz w:val="20"/>
                <w:szCs w:val="20"/>
              </w:rPr>
              <w:t>402,912</w:t>
            </w:r>
          </w:p>
        </w:tc>
        <w:tc>
          <w:tcPr>
            <w:tcW w:w="3033" w:type="dxa"/>
            <w:tcBorders>
              <w:top w:val="nil"/>
              <w:left w:val="nil"/>
              <w:bottom w:val="single" w:sz="8" w:space="0" w:color="auto"/>
              <w:right w:val="single" w:sz="8" w:space="0" w:color="auto"/>
            </w:tcBorders>
            <w:shd w:val="clear" w:color="auto" w:fill="auto"/>
            <w:noWrap/>
            <w:vAlign w:val="bottom"/>
          </w:tcPr>
          <w:p w14:paraId="719D757B" w14:textId="5F967D8E" w:rsidR="006F65A0" w:rsidRPr="000B44AB" w:rsidRDefault="00C92FD7" w:rsidP="006F65A0">
            <w:pPr>
              <w:jc w:val="right"/>
              <w:rPr>
                <w:rFonts w:ascii="Times New Roman" w:hAnsi="Times New Roman" w:cs="Times New Roman"/>
                <w:sz w:val="20"/>
                <w:szCs w:val="20"/>
              </w:rPr>
            </w:pPr>
            <w:r w:rsidRPr="00C92FD7">
              <w:rPr>
                <w:rFonts w:ascii="Times New Roman" w:hAnsi="Times New Roman" w:cs="Times New Roman"/>
                <w:color w:val="000000"/>
                <w:sz w:val="20"/>
                <w:szCs w:val="20"/>
              </w:rPr>
              <w:t>4,299</w:t>
            </w:r>
          </w:p>
        </w:tc>
      </w:tr>
      <w:tr w:rsidR="006F65A0" w:rsidRPr="00EB3BFE" w14:paraId="2A73B00E" w14:textId="77777777" w:rsidTr="00677641">
        <w:trPr>
          <w:trHeight w:val="356"/>
        </w:trPr>
        <w:tc>
          <w:tcPr>
            <w:tcW w:w="2834" w:type="dxa"/>
            <w:tcBorders>
              <w:top w:val="nil"/>
              <w:left w:val="single" w:sz="8" w:space="0" w:color="auto"/>
              <w:bottom w:val="single" w:sz="8" w:space="0" w:color="auto"/>
              <w:right w:val="single" w:sz="8" w:space="0" w:color="auto"/>
            </w:tcBorders>
            <w:shd w:val="clear" w:color="auto" w:fill="auto"/>
            <w:vAlign w:val="bottom"/>
          </w:tcPr>
          <w:p w14:paraId="5FB8E028" w14:textId="4E584F06" w:rsidR="006F65A0" w:rsidRPr="007600E4" w:rsidRDefault="006F65A0" w:rsidP="006F65A0">
            <w:pPr>
              <w:spacing w:after="0" w:line="240" w:lineRule="auto"/>
              <w:rPr>
                <w:rFonts w:ascii="Times New Roman" w:hAnsi="Times New Roman" w:cs="Times New Roman"/>
                <w:sz w:val="20"/>
                <w:szCs w:val="20"/>
              </w:rPr>
            </w:pPr>
            <w:r w:rsidRPr="007600E4">
              <w:rPr>
                <w:rFonts w:ascii="Times New Roman" w:hAnsi="Times New Roman" w:cs="Times New Roman"/>
                <w:sz w:val="20"/>
                <w:szCs w:val="20"/>
              </w:rPr>
              <w:t>Tier II Capital</w:t>
            </w:r>
          </w:p>
        </w:tc>
        <w:tc>
          <w:tcPr>
            <w:tcW w:w="3285" w:type="dxa"/>
            <w:tcBorders>
              <w:top w:val="nil"/>
              <w:left w:val="nil"/>
              <w:bottom w:val="single" w:sz="8" w:space="0" w:color="auto"/>
              <w:right w:val="single" w:sz="8" w:space="0" w:color="auto"/>
            </w:tcBorders>
            <w:shd w:val="clear" w:color="auto" w:fill="auto"/>
            <w:noWrap/>
            <w:vAlign w:val="bottom"/>
          </w:tcPr>
          <w:p w14:paraId="527C5152" w14:textId="737C7BD9" w:rsidR="006F65A0" w:rsidRPr="000B44AB" w:rsidRDefault="00C92FD7" w:rsidP="006F65A0">
            <w:pPr>
              <w:jc w:val="right"/>
              <w:rPr>
                <w:rFonts w:ascii="Times New Roman" w:hAnsi="Times New Roman" w:cs="Times New Roman"/>
                <w:sz w:val="20"/>
                <w:szCs w:val="20"/>
              </w:rPr>
            </w:pPr>
            <w:r w:rsidRPr="00C92FD7">
              <w:rPr>
                <w:rFonts w:ascii="Times New Roman" w:hAnsi="Times New Roman" w:cs="Times New Roman"/>
                <w:color w:val="000000"/>
                <w:sz w:val="20"/>
                <w:szCs w:val="20"/>
              </w:rPr>
              <w:t>258,536</w:t>
            </w:r>
          </w:p>
        </w:tc>
        <w:tc>
          <w:tcPr>
            <w:tcW w:w="3033" w:type="dxa"/>
            <w:tcBorders>
              <w:top w:val="nil"/>
              <w:left w:val="nil"/>
              <w:bottom w:val="single" w:sz="8" w:space="0" w:color="auto"/>
              <w:right w:val="single" w:sz="8" w:space="0" w:color="auto"/>
            </w:tcBorders>
            <w:shd w:val="clear" w:color="auto" w:fill="auto"/>
            <w:noWrap/>
            <w:vAlign w:val="bottom"/>
          </w:tcPr>
          <w:p w14:paraId="06489B1F" w14:textId="2173AC93" w:rsidR="006F65A0" w:rsidRPr="000B44AB" w:rsidRDefault="00C92FD7" w:rsidP="006F65A0">
            <w:pPr>
              <w:jc w:val="right"/>
              <w:rPr>
                <w:rFonts w:ascii="Times New Roman" w:hAnsi="Times New Roman" w:cs="Times New Roman"/>
                <w:sz w:val="20"/>
                <w:szCs w:val="20"/>
              </w:rPr>
            </w:pPr>
            <w:r w:rsidRPr="00C92FD7">
              <w:rPr>
                <w:rFonts w:ascii="Times New Roman" w:hAnsi="Times New Roman" w:cs="Times New Roman"/>
                <w:color w:val="000000"/>
                <w:sz w:val="20"/>
                <w:szCs w:val="20"/>
              </w:rPr>
              <w:t>258,536</w:t>
            </w:r>
          </w:p>
        </w:tc>
      </w:tr>
      <w:tr w:rsidR="006F65A0" w:rsidRPr="00EB3BFE" w14:paraId="3F1AACF5" w14:textId="77777777" w:rsidTr="00677641">
        <w:trPr>
          <w:trHeight w:val="429"/>
        </w:trPr>
        <w:tc>
          <w:tcPr>
            <w:tcW w:w="2834" w:type="dxa"/>
            <w:tcBorders>
              <w:top w:val="nil"/>
              <w:left w:val="single" w:sz="8" w:space="0" w:color="auto"/>
              <w:bottom w:val="single" w:sz="8" w:space="0" w:color="auto"/>
              <w:right w:val="single" w:sz="8" w:space="0" w:color="auto"/>
            </w:tcBorders>
            <w:shd w:val="clear" w:color="auto" w:fill="auto"/>
            <w:vAlign w:val="center"/>
          </w:tcPr>
          <w:p w14:paraId="3335E0FA" w14:textId="1E894580" w:rsidR="006F65A0" w:rsidRPr="007600E4" w:rsidRDefault="006F65A0" w:rsidP="006F65A0">
            <w:pPr>
              <w:spacing w:after="0" w:line="240" w:lineRule="auto"/>
              <w:rPr>
                <w:rFonts w:ascii="Times New Roman" w:hAnsi="Times New Roman" w:cs="Times New Roman"/>
                <w:sz w:val="20"/>
                <w:szCs w:val="20"/>
              </w:rPr>
            </w:pPr>
            <w:r w:rsidRPr="007600E4">
              <w:rPr>
                <w:rFonts w:ascii="Times New Roman" w:hAnsi="Times New Roman" w:cs="Times New Roman"/>
                <w:sz w:val="20"/>
                <w:szCs w:val="20"/>
              </w:rPr>
              <w:t>Total Qualifying capital</w:t>
            </w:r>
          </w:p>
        </w:tc>
        <w:tc>
          <w:tcPr>
            <w:tcW w:w="3285" w:type="dxa"/>
            <w:tcBorders>
              <w:top w:val="nil"/>
              <w:left w:val="nil"/>
              <w:bottom w:val="single" w:sz="8" w:space="0" w:color="auto"/>
              <w:right w:val="single" w:sz="8" w:space="0" w:color="auto"/>
            </w:tcBorders>
            <w:shd w:val="clear" w:color="auto" w:fill="auto"/>
            <w:noWrap/>
            <w:vAlign w:val="center"/>
          </w:tcPr>
          <w:p w14:paraId="3504B322" w14:textId="4B5F971E" w:rsidR="006F65A0" w:rsidRPr="000B44AB" w:rsidRDefault="00C92FD7" w:rsidP="006F65A0">
            <w:pPr>
              <w:jc w:val="right"/>
              <w:rPr>
                <w:rFonts w:ascii="Times New Roman" w:hAnsi="Times New Roman" w:cs="Times New Roman"/>
                <w:sz w:val="20"/>
                <w:szCs w:val="20"/>
              </w:rPr>
            </w:pPr>
            <w:r w:rsidRPr="00C92FD7">
              <w:rPr>
                <w:rFonts w:ascii="Times New Roman" w:hAnsi="Times New Roman" w:cs="Times New Roman"/>
                <w:b/>
                <w:bCs/>
                <w:color w:val="000000"/>
                <w:sz w:val="20"/>
                <w:szCs w:val="20"/>
              </w:rPr>
              <w:t>661,448</w:t>
            </w:r>
          </w:p>
        </w:tc>
        <w:tc>
          <w:tcPr>
            <w:tcW w:w="3033" w:type="dxa"/>
            <w:tcBorders>
              <w:top w:val="nil"/>
              <w:left w:val="nil"/>
              <w:bottom w:val="single" w:sz="8" w:space="0" w:color="auto"/>
              <w:right w:val="single" w:sz="8" w:space="0" w:color="auto"/>
            </w:tcBorders>
            <w:shd w:val="clear" w:color="auto" w:fill="auto"/>
            <w:noWrap/>
            <w:vAlign w:val="center"/>
          </w:tcPr>
          <w:p w14:paraId="1058F0CD" w14:textId="19DBC962" w:rsidR="006F65A0" w:rsidRPr="000B44AB" w:rsidRDefault="00C92FD7" w:rsidP="006F65A0">
            <w:pPr>
              <w:jc w:val="right"/>
              <w:rPr>
                <w:rFonts w:ascii="Times New Roman" w:hAnsi="Times New Roman" w:cs="Times New Roman"/>
                <w:sz w:val="20"/>
                <w:szCs w:val="20"/>
              </w:rPr>
            </w:pPr>
            <w:r w:rsidRPr="00C92FD7">
              <w:rPr>
                <w:rFonts w:ascii="Times New Roman" w:hAnsi="Times New Roman" w:cs="Times New Roman"/>
                <w:b/>
                <w:bCs/>
                <w:color w:val="000000"/>
                <w:sz w:val="20"/>
                <w:szCs w:val="20"/>
              </w:rPr>
              <w:t>262,835</w:t>
            </w:r>
          </w:p>
        </w:tc>
      </w:tr>
      <w:tr w:rsidR="006F65A0" w:rsidRPr="00EB3BFE" w14:paraId="7A4B5DD8" w14:textId="77777777" w:rsidTr="00677641">
        <w:trPr>
          <w:trHeight w:val="612"/>
        </w:trPr>
        <w:tc>
          <w:tcPr>
            <w:tcW w:w="2834" w:type="dxa"/>
            <w:tcBorders>
              <w:top w:val="nil"/>
              <w:left w:val="single" w:sz="8" w:space="0" w:color="auto"/>
              <w:bottom w:val="single" w:sz="8" w:space="0" w:color="auto"/>
              <w:right w:val="single" w:sz="8" w:space="0" w:color="auto"/>
            </w:tcBorders>
            <w:shd w:val="clear" w:color="auto" w:fill="auto"/>
            <w:vAlign w:val="center"/>
          </w:tcPr>
          <w:p w14:paraId="7D6A0D97" w14:textId="2632E2E5" w:rsidR="006F65A0" w:rsidRPr="007600E4" w:rsidRDefault="006F65A0" w:rsidP="006F65A0">
            <w:pPr>
              <w:spacing w:after="0" w:line="240" w:lineRule="auto"/>
              <w:rPr>
                <w:rFonts w:ascii="Times New Roman" w:hAnsi="Times New Roman" w:cs="Times New Roman"/>
                <w:b/>
                <w:bCs/>
                <w:sz w:val="20"/>
                <w:szCs w:val="20"/>
              </w:rPr>
            </w:pPr>
            <w:r w:rsidRPr="007600E4">
              <w:rPr>
                <w:rFonts w:ascii="Times New Roman" w:hAnsi="Times New Roman" w:cs="Times New Roman"/>
                <w:b/>
                <w:bCs/>
                <w:sz w:val="20"/>
                <w:szCs w:val="20"/>
              </w:rPr>
              <w:t>Total Risk Weighted Asset</w:t>
            </w:r>
          </w:p>
        </w:tc>
        <w:tc>
          <w:tcPr>
            <w:tcW w:w="3285" w:type="dxa"/>
            <w:tcBorders>
              <w:top w:val="nil"/>
              <w:left w:val="nil"/>
              <w:bottom w:val="single" w:sz="8" w:space="0" w:color="auto"/>
              <w:right w:val="single" w:sz="8" w:space="0" w:color="auto"/>
            </w:tcBorders>
            <w:shd w:val="clear" w:color="auto" w:fill="auto"/>
            <w:noWrap/>
            <w:vAlign w:val="center"/>
          </w:tcPr>
          <w:p w14:paraId="68984AD8" w14:textId="5D031A48" w:rsidR="006F65A0" w:rsidRPr="000B44AB" w:rsidRDefault="00C92FD7" w:rsidP="006F65A0">
            <w:pPr>
              <w:jc w:val="right"/>
              <w:rPr>
                <w:rFonts w:ascii="Times New Roman" w:hAnsi="Times New Roman" w:cs="Times New Roman"/>
                <w:b/>
                <w:bCs/>
                <w:sz w:val="20"/>
                <w:szCs w:val="20"/>
              </w:rPr>
            </w:pPr>
            <w:r w:rsidRPr="00C92FD7">
              <w:rPr>
                <w:rFonts w:ascii="Times New Roman" w:hAnsi="Times New Roman" w:cs="Times New Roman"/>
                <w:b/>
                <w:bCs/>
                <w:color w:val="000000"/>
                <w:sz w:val="20"/>
                <w:szCs w:val="20"/>
              </w:rPr>
              <w:t>3,627,011</w:t>
            </w:r>
          </w:p>
        </w:tc>
        <w:tc>
          <w:tcPr>
            <w:tcW w:w="3033" w:type="dxa"/>
            <w:tcBorders>
              <w:top w:val="nil"/>
              <w:left w:val="nil"/>
              <w:bottom w:val="single" w:sz="8" w:space="0" w:color="auto"/>
              <w:right w:val="single" w:sz="8" w:space="0" w:color="auto"/>
            </w:tcBorders>
            <w:shd w:val="clear" w:color="auto" w:fill="auto"/>
            <w:noWrap/>
            <w:vAlign w:val="center"/>
          </w:tcPr>
          <w:p w14:paraId="357C3D60" w14:textId="758A1A70" w:rsidR="006F65A0" w:rsidRPr="000B44AB" w:rsidRDefault="00C92FD7" w:rsidP="006F65A0">
            <w:pPr>
              <w:jc w:val="right"/>
              <w:rPr>
                <w:rFonts w:ascii="Times New Roman" w:hAnsi="Times New Roman" w:cs="Times New Roman"/>
                <w:b/>
                <w:bCs/>
                <w:sz w:val="20"/>
                <w:szCs w:val="20"/>
              </w:rPr>
            </w:pPr>
            <w:r w:rsidRPr="00C92FD7">
              <w:rPr>
                <w:rFonts w:ascii="Times New Roman" w:hAnsi="Times New Roman" w:cs="Times New Roman"/>
                <w:b/>
                <w:bCs/>
                <w:color w:val="000000"/>
                <w:sz w:val="20"/>
                <w:szCs w:val="20"/>
              </w:rPr>
              <w:t>3,627,011</w:t>
            </w:r>
          </w:p>
        </w:tc>
      </w:tr>
      <w:tr w:rsidR="006F65A0" w:rsidRPr="00EB3BFE" w14:paraId="3E7D0E3F" w14:textId="77777777" w:rsidTr="00677641">
        <w:trPr>
          <w:trHeight w:val="612"/>
        </w:trPr>
        <w:tc>
          <w:tcPr>
            <w:tcW w:w="2834" w:type="dxa"/>
            <w:tcBorders>
              <w:top w:val="nil"/>
              <w:left w:val="single" w:sz="8" w:space="0" w:color="auto"/>
              <w:bottom w:val="single" w:sz="8" w:space="0" w:color="auto"/>
              <w:right w:val="single" w:sz="8" w:space="0" w:color="auto"/>
            </w:tcBorders>
            <w:shd w:val="clear" w:color="auto" w:fill="auto"/>
            <w:vAlign w:val="bottom"/>
          </w:tcPr>
          <w:p w14:paraId="385C1CBB" w14:textId="400CF2A3" w:rsidR="006F65A0" w:rsidRPr="007600E4" w:rsidRDefault="006F65A0" w:rsidP="006F65A0">
            <w:pPr>
              <w:rPr>
                <w:rFonts w:ascii="Times New Roman" w:hAnsi="Times New Roman" w:cs="Times New Roman"/>
                <w:sz w:val="20"/>
                <w:szCs w:val="20"/>
              </w:rPr>
            </w:pPr>
            <w:r w:rsidRPr="007600E4">
              <w:rPr>
                <w:rFonts w:ascii="Times New Roman" w:hAnsi="Times New Roman" w:cs="Times New Roman"/>
                <w:color w:val="000000"/>
                <w:sz w:val="20"/>
                <w:szCs w:val="20"/>
              </w:rPr>
              <w:t>Tier I Capital Ratio</w:t>
            </w:r>
          </w:p>
        </w:tc>
        <w:tc>
          <w:tcPr>
            <w:tcW w:w="3285" w:type="dxa"/>
            <w:tcBorders>
              <w:top w:val="nil"/>
              <w:left w:val="nil"/>
              <w:bottom w:val="single" w:sz="8" w:space="0" w:color="auto"/>
              <w:right w:val="single" w:sz="8" w:space="0" w:color="auto"/>
            </w:tcBorders>
            <w:shd w:val="clear" w:color="auto" w:fill="auto"/>
            <w:noWrap/>
            <w:vAlign w:val="center"/>
          </w:tcPr>
          <w:p w14:paraId="40C7161D" w14:textId="6560E75E" w:rsidR="006F65A0" w:rsidRPr="000B44AB" w:rsidRDefault="00C92FD7" w:rsidP="006F65A0">
            <w:pPr>
              <w:jc w:val="right"/>
              <w:rPr>
                <w:rFonts w:ascii="Times New Roman" w:hAnsi="Times New Roman" w:cs="Times New Roman"/>
                <w:sz w:val="20"/>
                <w:szCs w:val="20"/>
              </w:rPr>
            </w:pPr>
            <w:r w:rsidRPr="00C92FD7">
              <w:rPr>
                <w:rFonts w:ascii="Times New Roman" w:hAnsi="Times New Roman" w:cs="Times New Roman"/>
                <w:b/>
                <w:bCs/>
                <w:color w:val="000000"/>
                <w:sz w:val="20"/>
                <w:szCs w:val="20"/>
              </w:rPr>
              <w:t>11.11%</w:t>
            </w:r>
          </w:p>
        </w:tc>
        <w:tc>
          <w:tcPr>
            <w:tcW w:w="3033" w:type="dxa"/>
            <w:tcBorders>
              <w:top w:val="nil"/>
              <w:left w:val="nil"/>
              <w:bottom w:val="single" w:sz="8" w:space="0" w:color="auto"/>
              <w:right w:val="single" w:sz="8" w:space="0" w:color="auto"/>
            </w:tcBorders>
            <w:shd w:val="clear" w:color="auto" w:fill="auto"/>
            <w:noWrap/>
            <w:vAlign w:val="center"/>
          </w:tcPr>
          <w:p w14:paraId="30A82AC1" w14:textId="0E73E30F" w:rsidR="006F65A0" w:rsidRPr="000B44AB" w:rsidRDefault="00C92FD7" w:rsidP="006F65A0">
            <w:pPr>
              <w:jc w:val="right"/>
              <w:rPr>
                <w:rFonts w:ascii="Times New Roman" w:hAnsi="Times New Roman" w:cs="Times New Roman"/>
                <w:b/>
                <w:bCs/>
                <w:sz w:val="20"/>
                <w:szCs w:val="20"/>
              </w:rPr>
            </w:pPr>
            <w:r w:rsidRPr="00C92FD7">
              <w:rPr>
                <w:rFonts w:ascii="Times New Roman" w:hAnsi="Times New Roman" w:cs="Times New Roman"/>
                <w:b/>
                <w:bCs/>
                <w:color w:val="000000"/>
                <w:sz w:val="20"/>
                <w:szCs w:val="20"/>
              </w:rPr>
              <w:t>0.12%</w:t>
            </w:r>
          </w:p>
        </w:tc>
      </w:tr>
      <w:tr w:rsidR="006F65A0" w:rsidRPr="00EB3BFE" w14:paraId="77E1A3E5" w14:textId="77777777" w:rsidTr="00677641">
        <w:trPr>
          <w:trHeight w:val="60"/>
        </w:trPr>
        <w:tc>
          <w:tcPr>
            <w:tcW w:w="2834" w:type="dxa"/>
            <w:tcBorders>
              <w:top w:val="nil"/>
              <w:left w:val="single" w:sz="8" w:space="0" w:color="auto"/>
              <w:bottom w:val="single" w:sz="8" w:space="0" w:color="auto"/>
              <w:right w:val="single" w:sz="8" w:space="0" w:color="auto"/>
            </w:tcBorders>
            <w:shd w:val="clear" w:color="auto" w:fill="auto"/>
            <w:vAlign w:val="bottom"/>
          </w:tcPr>
          <w:p w14:paraId="5E986273" w14:textId="35F9BD35" w:rsidR="006F65A0" w:rsidRPr="007600E4" w:rsidRDefault="006F65A0" w:rsidP="006F65A0">
            <w:pPr>
              <w:rPr>
                <w:rFonts w:ascii="Times New Roman" w:hAnsi="Times New Roman" w:cs="Times New Roman"/>
                <w:sz w:val="20"/>
                <w:szCs w:val="20"/>
              </w:rPr>
            </w:pPr>
            <w:r w:rsidRPr="007600E4">
              <w:rPr>
                <w:rFonts w:ascii="Times New Roman" w:hAnsi="Times New Roman" w:cs="Times New Roman"/>
                <w:color w:val="000000"/>
                <w:sz w:val="20"/>
                <w:szCs w:val="20"/>
              </w:rPr>
              <w:t>Total Capital Ratio</w:t>
            </w:r>
          </w:p>
        </w:tc>
        <w:tc>
          <w:tcPr>
            <w:tcW w:w="3285" w:type="dxa"/>
            <w:tcBorders>
              <w:top w:val="nil"/>
              <w:left w:val="nil"/>
              <w:bottom w:val="single" w:sz="8" w:space="0" w:color="auto"/>
              <w:right w:val="single" w:sz="8" w:space="0" w:color="auto"/>
            </w:tcBorders>
            <w:shd w:val="clear" w:color="auto" w:fill="auto"/>
            <w:noWrap/>
            <w:vAlign w:val="center"/>
          </w:tcPr>
          <w:p w14:paraId="1705AE45" w14:textId="369FFF97" w:rsidR="006F65A0" w:rsidRPr="000B44AB" w:rsidRDefault="00C92FD7" w:rsidP="006F65A0">
            <w:pPr>
              <w:jc w:val="right"/>
              <w:rPr>
                <w:rFonts w:ascii="Times New Roman" w:hAnsi="Times New Roman" w:cs="Times New Roman"/>
                <w:sz w:val="20"/>
                <w:szCs w:val="20"/>
              </w:rPr>
            </w:pPr>
            <w:r w:rsidRPr="00C92FD7">
              <w:rPr>
                <w:rFonts w:ascii="Times New Roman" w:hAnsi="Times New Roman" w:cs="Times New Roman"/>
                <w:b/>
                <w:bCs/>
                <w:color w:val="000000"/>
                <w:sz w:val="20"/>
                <w:szCs w:val="20"/>
              </w:rPr>
              <w:t>18.24%</w:t>
            </w:r>
          </w:p>
        </w:tc>
        <w:tc>
          <w:tcPr>
            <w:tcW w:w="3033" w:type="dxa"/>
            <w:tcBorders>
              <w:top w:val="nil"/>
              <w:left w:val="nil"/>
              <w:bottom w:val="single" w:sz="8" w:space="0" w:color="auto"/>
              <w:right w:val="single" w:sz="8" w:space="0" w:color="auto"/>
            </w:tcBorders>
            <w:shd w:val="clear" w:color="auto" w:fill="auto"/>
            <w:noWrap/>
            <w:vAlign w:val="bottom"/>
          </w:tcPr>
          <w:p w14:paraId="4FFB5466" w14:textId="2F7D09ED" w:rsidR="006F65A0" w:rsidRPr="000B44AB" w:rsidRDefault="00C92FD7" w:rsidP="006F65A0">
            <w:pPr>
              <w:jc w:val="right"/>
              <w:rPr>
                <w:rFonts w:ascii="Times New Roman" w:hAnsi="Times New Roman" w:cs="Times New Roman"/>
                <w:b/>
                <w:bCs/>
                <w:sz w:val="20"/>
                <w:szCs w:val="20"/>
              </w:rPr>
            </w:pPr>
            <w:r w:rsidRPr="00C92FD7">
              <w:rPr>
                <w:rFonts w:ascii="Times New Roman" w:hAnsi="Times New Roman" w:cs="Times New Roman"/>
                <w:b/>
                <w:bCs/>
                <w:color w:val="000000"/>
                <w:sz w:val="20"/>
                <w:szCs w:val="20"/>
              </w:rPr>
              <w:t>7.25%</w:t>
            </w:r>
          </w:p>
        </w:tc>
      </w:tr>
    </w:tbl>
    <w:p w14:paraId="05DEE83A" w14:textId="77777777" w:rsidR="00016C6B" w:rsidRDefault="008D43E6" w:rsidP="00400750">
      <w:pPr>
        <w:pStyle w:val="Heading2"/>
        <w:rPr>
          <w:rStyle w:val="A5"/>
          <w:rFonts w:ascii="Times New Roman" w:hAnsi="Times New Roman" w:cs="Times New Roman"/>
          <w:b w:val="0"/>
          <w:color w:val="auto"/>
          <w:sz w:val="20"/>
          <w:szCs w:val="20"/>
        </w:rPr>
      </w:pPr>
      <w:r w:rsidRPr="00EB3BFE">
        <w:rPr>
          <w:rStyle w:val="A5"/>
          <w:rFonts w:ascii="Times New Roman" w:hAnsi="Times New Roman" w:cs="Times New Roman"/>
          <w:b w:val="0"/>
          <w:color w:val="auto"/>
          <w:sz w:val="20"/>
          <w:szCs w:val="20"/>
        </w:rPr>
        <w:fldChar w:fldCharType="end"/>
      </w:r>
      <w:bookmarkStart w:id="13" w:name="_Toc100839095"/>
    </w:p>
    <w:p w14:paraId="66B4A0DF" w14:textId="77777777" w:rsidR="00016C6B" w:rsidRDefault="00016C6B" w:rsidP="00400750">
      <w:pPr>
        <w:pStyle w:val="Heading2"/>
        <w:rPr>
          <w:rStyle w:val="A5"/>
          <w:rFonts w:ascii="Times New Roman" w:hAnsi="Times New Roman" w:cs="Times New Roman"/>
          <w:b w:val="0"/>
          <w:color w:val="auto"/>
          <w:sz w:val="20"/>
          <w:szCs w:val="20"/>
        </w:rPr>
      </w:pPr>
    </w:p>
    <w:p w14:paraId="3C2A55A3" w14:textId="77777777" w:rsidR="00016C6B" w:rsidRDefault="00016C6B" w:rsidP="00400750">
      <w:pPr>
        <w:pStyle w:val="Heading2"/>
        <w:rPr>
          <w:rStyle w:val="A5"/>
          <w:rFonts w:ascii="Times New Roman" w:hAnsi="Times New Roman" w:cs="Times New Roman"/>
          <w:b w:val="0"/>
          <w:color w:val="auto"/>
          <w:sz w:val="20"/>
          <w:szCs w:val="20"/>
        </w:rPr>
      </w:pPr>
    </w:p>
    <w:p w14:paraId="151E464F" w14:textId="77777777" w:rsidR="00016C6B" w:rsidRPr="00016C6B" w:rsidRDefault="00016C6B" w:rsidP="00016C6B"/>
    <w:p w14:paraId="2659760A" w14:textId="45DBC847" w:rsidR="006B59F7" w:rsidRPr="00EB3BFE" w:rsidRDefault="000F3EF8" w:rsidP="00400750">
      <w:pPr>
        <w:pStyle w:val="Heading2"/>
        <w:rPr>
          <w:rFonts w:ascii="Times New Roman" w:hAnsi="Times New Roman" w:cs="Times New Roman"/>
          <w:color w:val="auto"/>
          <w:sz w:val="20"/>
          <w:szCs w:val="20"/>
        </w:rPr>
      </w:pPr>
      <w:r w:rsidRPr="00EB3BFE">
        <w:rPr>
          <w:rStyle w:val="A5"/>
          <w:rFonts w:ascii="Times New Roman" w:hAnsi="Times New Roman" w:cs="Times New Roman"/>
          <w:color w:val="auto"/>
          <w:sz w:val="20"/>
          <w:szCs w:val="20"/>
        </w:rPr>
        <w:lastRenderedPageBreak/>
        <w:t>Table 25</w:t>
      </w:r>
      <w:bookmarkEnd w:id="9"/>
      <w:bookmarkEnd w:id="10"/>
      <w:r w:rsidR="00C639CF" w:rsidRPr="00EB3BFE">
        <w:rPr>
          <w:rStyle w:val="A5"/>
          <w:rFonts w:ascii="Times New Roman" w:hAnsi="Times New Roman" w:cs="Times New Roman"/>
          <w:color w:val="auto"/>
          <w:sz w:val="20"/>
          <w:szCs w:val="20"/>
        </w:rPr>
        <w:t xml:space="preserve">: </w:t>
      </w:r>
      <w:r w:rsidR="00C639CF" w:rsidRPr="00EB3BFE">
        <w:rPr>
          <w:rFonts w:ascii="Times New Roman" w:hAnsi="Times New Roman" w:cs="Times New Roman"/>
          <w:color w:val="auto"/>
          <w:sz w:val="20"/>
          <w:szCs w:val="20"/>
        </w:rPr>
        <w:t>Regu</w:t>
      </w:r>
      <w:r w:rsidR="009E0902" w:rsidRPr="00EB3BFE">
        <w:rPr>
          <w:rFonts w:ascii="Times New Roman" w:hAnsi="Times New Roman" w:cs="Times New Roman"/>
          <w:color w:val="auto"/>
          <w:sz w:val="20"/>
          <w:szCs w:val="20"/>
        </w:rPr>
        <w:t xml:space="preserve">latory and IFRS publication for </w:t>
      </w:r>
      <w:bookmarkEnd w:id="11"/>
      <w:bookmarkEnd w:id="12"/>
      <w:r w:rsidR="00AD1967" w:rsidRPr="00EB3BFE">
        <w:rPr>
          <w:rFonts w:ascii="Times New Roman" w:hAnsi="Times New Roman" w:cs="Times New Roman"/>
          <w:color w:val="auto"/>
          <w:sz w:val="20"/>
          <w:szCs w:val="20"/>
        </w:rPr>
        <w:t>First Capital Bank</w:t>
      </w:r>
      <w:bookmarkEnd w:id="13"/>
    </w:p>
    <w:p w14:paraId="51121C32" w14:textId="77777777" w:rsidR="00FF4116" w:rsidRPr="00EB3BFE" w:rsidRDefault="00FF4116" w:rsidP="00FF4116">
      <w:pPr>
        <w:rPr>
          <w:rFonts w:ascii="Times New Roman" w:hAnsi="Times New Roman" w:cs="Times New Roman"/>
          <w:sz w:val="20"/>
          <w:szCs w:val="20"/>
        </w:rPr>
      </w:pPr>
    </w:p>
    <w:tbl>
      <w:tblPr>
        <w:tblW w:w="9170" w:type="dxa"/>
        <w:tblLook w:val="04A0" w:firstRow="1" w:lastRow="0" w:firstColumn="1" w:lastColumn="0" w:noHBand="0" w:noVBand="1"/>
      </w:tblPr>
      <w:tblGrid>
        <w:gridCol w:w="5093"/>
        <w:gridCol w:w="2127"/>
        <w:gridCol w:w="1950"/>
      </w:tblGrid>
      <w:tr w:rsidR="004A096A" w:rsidRPr="00EB3BFE" w14:paraId="3B730D2B" w14:textId="77777777" w:rsidTr="0048665A">
        <w:trPr>
          <w:trHeight w:val="1005"/>
        </w:trPr>
        <w:tc>
          <w:tcPr>
            <w:tcW w:w="5093" w:type="dxa"/>
            <w:tcBorders>
              <w:top w:val="single" w:sz="8" w:space="0" w:color="auto"/>
              <w:left w:val="single" w:sz="8" w:space="0" w:color="auto"/>
              <w:bottom w:val="single" w:sz="8" w:space="0" w:color="000000"/>
              <w:right w:val="single" w:sz="8" w:space="0" w:color="000000"/>
            </w:tcBorders>
            <w:shd w:val="clear" w:color="000000" w:fill="92D050"/>
            <w:hideMark/>
          </w:tcPr>
          <w:p w14:paraId="3ED09DB4" w14:textId="7B015A0C" w:rsidR="004A096A" w:rsidRPr="00EB3BFE" w:rsidRDefault="004A096A" w:rsidP="004A096A">
            <w:pPr>
              <w:spacing w:after="0" w:line="240" w:lineRule="auto"/>
              <w:rPr>
                <w:rFonts w:ascii="Times New Roman" w:eastAsia="Times New Roman" w:hAnsi="Times New Roman" w:cs="Times New Roman"/>
                <w:sz w:val="20"/>
                <w:szCs w:val="20"/>
                <w:lang w:val="en-US"/>
              </w:rPr>
            </w:pPr>
          </w:p>
        </w:tc>
        <w:tc>
          <w:tcPr>
            <w:tcW w:w="2127" w:type="dxa"/>
            <w:tcBorders>
              <w:top w:val="single" w:sz="8" w:space="0" w:color="auto"/>
              <w:left w:val="nil"/>
              <w:bottom w:val="single" w:sz="8" w:space="0" w:color="000000"/>
              <w:right w:val="single" w:sz="8" w:space="0" w:color="000000"/>
            </w:tcBorders>
            <w:shd w:val="clear" w:color="000000" w:fill="92D050"/>
            <w:hideMark/>
          </w:tcPr>
          <w:p w14:paraId="643EDFAD" w14:textId="5B8B6936" w:rsidR="004A096A" w:rsidRPr="00EB3BFE" w:rsidRDefault="004A096A" w:rsidP="004A096A">
            <w:pPr>
              <w:spacing w:after="0" w:line="240" w:lineRule="auto"/>
              <w:jc w:val="both"/>
              <w:rPr>
                <w:rFonts w:ascii="Times New Roman" w:eastAsia="Times New Roman" w:hAnsi="Times New Roman" w:cs="Times New Roman"/>
                <w:b/>
                <w:bCs/>
                <w:sz w:val="20"/>
                <w:szCs w:val="20"/>
                <w:lang w:val="en-US"/>
              </w:rPr>
            </w:pPr>
            <w:r w:rsidRPr="00EB3BFE">
              <w:rPr>
                <w:rFonts w:ascii="Times New Roman" w:hAnsi="Times New Roman" w:cs="Times New Roman"/>
                <w:b/>
                <w:bCs/>
                <w:sz w:val="20"/>
                <w:szCs w:val="20"/>
              </w:rPr>
              <w:t>Balance sheet as in published financial statements</w:t>
            </w:r>
          </w:p>
        </w:tc>
        <w:tc>
          <w:tcPr>
            <w:tcW w:w="1950" w:type="dxa"/>
            <w:tcBorders>
              <w:top w:val="single" w:sz="8" w:space="0" w:color="auto"/>
              <w:left w:val="nil"/>
              <w:bottom w:val="single" w:sz="8" w:space="0" w:color="000000"/>
              <w:right w:val="single" w:sz="8" w:space="0" w:color="auto"/>
            </w:tcBorders>
            <w:shd w:val="clear" w:color="000000" w:fill="92D050"/>
            <w:hideMark/>
          </w:tcPr>
          <w:p w14:paraId="5B17CF28" w14:textId="362062A3" w:rsidR="004A096A" w:rsidRPr="00EB3BFE" w:rsidRDefault="004A096A" w:rsidP="004A096A">
            <w:pPr>
              <w:spacing w:after="0" w:line="240" w:lineRule="auto"/>
              <w:jc w:val="both"/>
              <w:rPr>
                <w:rFonts w:ascii="Times New Roman" w:eastAsia="Times New Roman" w:hAnsi="Times New Roman" w:cs="Times New Roman"/>
                <w:b/>
                <w:bCs/>
                <w:sz w:val="20"/>
                <w:szCs w:val="20"/>
                <w:lang w:val="en-US"/>
              </w:rPr>
            </w:pPr>
            <w:r w:rsidRPr="00EB3BFE">
              <w:rPr>
                <w:rFonts w:ascii="Times New Roman" w:hAnsi="Times New Roman" w:cs="Times New Roman"/>
                <w:b/>
                <w:bCs/>
                <w:sz w:val="20"/>
                <w:szCs w:val="20"/>
              </w:rPr>
              <w:t>Under regulatory scope of consolidation</w:t>
            </w:r>
          </w:p>
        </w:tc>
      </w:tr>
      <w:tr w:rsidR="004A096A" w:rsidRPr="00EB3BFE" w14:paraId="1548011E" w14:textId="77777777" w:rsidTr="0048665A">
        <w:trPr>
          <w:trHeight w:val="345"/>
        </w:trPr>
        <w:tc>
          <w:tcPr>
            <w:tcW w:w="5093" w:type="dxa"/>
            <w:tcBorders>
              <w:top w:val="nil"/>
              <w:left w:val="single" w:sz="8" w:space="0" w:color="auto"/>
              <w:bottom w:val="single" w:sz="8" w:space="0" w:color="000000"/>
              <w:right w:val="single" w:sz="8" w:space="0" w:color="000000"/>
            </w:tcBorders>
            <w:shd w:val="clear" w:color="000000" w:fill="92D050"/>
            <w:hideMark/>
          </w:tcPr>
          <w:p w14:paraId="47CD0A14" w14:textId="1374CE7A" w:rsidR="004A096A" w:rsidRPr="00EB3BFE" w:rsidRDefault="004A096A" w:rsidP="004A096A">
            <w:pPr>
              <w:spacing w:after="0" w:line="240" w:lineRule="auto"/>
              <w:rPr>
                <w:rFonts w:ascii="Times New Roman" w:eastAsia="Times New Roman" w:hAnsi="Times New Roman" w:cs="Times New Roman"/>
                <w:sz w:val="20"/>
                <w:szCs w:val="20"/>
                <w:lang w:val="en-US"/>
              </w:rPr>
            </w:pPr>
          </w:p>
        </w:tc>
        <w:tc>
          <w:tcPr>
            <w:tcW w:w="2127" w:type="dxa"/>
            <w:tcBorders>
              <w:top w:val="nil"/>
              <w:left w:val="nil"/>
              <w:bottom w:val="single" w:sz="8" w:space="0" w:color="000000"/>
              <w:right w:val="single" w:sz="8" w:space="0" w:color="000000"/>
            </w:tcBorders>
            <w:shd w:val="clear" w:color="000000" w:fill="92D050"/>
            <w:hideMark/>
          </w:tcPr>
          <w:p w14:paraId="20088AD8" w14:textId="3E13B2B5" w:rsidR="004A096A" w:rsidRPr="00EB3BFE" w:rsidRDefault="004A096A" w:rsidP="004A096A">
            <w:pPr>
              <w:spacing w:after="0" w:line="240" w:lineRule="auto"/>
              <w:rPr>
                <w:rFonts w:ascii="Times New Roman" w:eastAsia="Times New Roman" w:hAnsi="Times New Roman" w:cs="Times New Roman"/>
                <w:b/>
                <w:bCs/>
                <w:sz w:val="20"/>
                <w:szCs w:val="20"/>
                <w:lang w:val="en-US"/>
              </w:rPr>
            </w:pPr>
            <w:r w:rsidRPr="00EB3BFE">
              <w:rPr>
                <w:rFonts w:ascii="Times New Roman" w:hAnsi="Times New Roman" w:cs="Times New Roman"/>
                <w:b/>
                <w:bCs/>
                <w:sz w:val="20"/>
                <w:szCs w:val="20"/>
              </w:rPr>
              <w:t>As at period end</w:t>
            </w:r>
            <w:r w:rsidR="004024E0" w:rsidRPr="00EB3BFE">
              <w:rPr>
                <w:rFonts w:ascii="Times New Roman" w:hAnsi="Times New Roman" w:cs="Times New Roman"/>
                <w:b/>
                <w:bCs/>
                <w:sz w:val="20"/>
                <w:szCs w:val="20"/>
              </w:rPr>
              <w:t xml:space="preserve"> </w:t>
            </w:r>
            <w:r w:rsidR="000B44AB">
              <w:rPr>
                <w:rFonts w:ascii="Times New Roman" w:hAnsi="Times New Roman" w:cs="Times New Roman"/>
                <w:b/>
                <w:bCs/>
                <w:sz w:val="20"/>
                <w:szCs w:val="20"/>
              </w:rPr>
              <w:t>3</w:t>
            </w:r>
            <w:r w:rsidR="00291C48">
              <w:rPr>
                <w:rFonts w:ascii="Times New Roman" w:hAnsi="Times New Roman" w:cs="Times New Roman"/>
                <w:b/>
                <w:bCs/>
                <w:sz w:val="20"/>
                <w:szCs w:val="20"/>
              </w:rPr>
              <w:t>1</w:t>
            </w:r>
            <w:r w:rsidR="000B44AB">
              <w:rPr>
                <w:rFonts w:ascii="Times New Roman" w:hAnsi="Times New Roman" w:cs="Times New Roman"/>
                <w:b/>
                <w:bCs/>
                <w:sz w:val="20"/>
                <w:szCs w:val="20"/>
              </w:rPr>
              <w:t xml:space="preserve"> </w:t>
            </w:r>
            <w:r w:rsidR="00FA7450">
              <w:rPr>
                <w:rFonts w:ascii="Times New Roman" w:hAnsi="Times New Roman" w:cs="Times New Roman"/>
                <w:b/>
                <w:bCs/>
                <w:sz w:val="20"/>
                <w:szCs w:val="20"/>
              </w:rPr>
              <w:t>March</w:t>
            </w:r>
            <w:r w:rsidR="005C377E">
              <w:rPr>
                <w:rFonts w:ascii="Times New Roman" w:hAnsi="Times New Roman" w:cs="Times New Roman"/>
                <w:b/>
                <w:bCs/>
                <w:sz w:val="20"/>
                <w:szCs w:val="20"/>
              </w:rPr>
              <w:t xml:space="preserve"> 202</w:t>
            </w:r>
            <w:r w:rsidR="00FA7450">
              <w:rPr>
                <w:rFonts w:ascii="Times New Roman" w:hAnsi="Times New Roman" w:cs="Times New Roman"/>
                <w:b/>
                <w:bCs/>
                <w:sz w:val="20"/>
                <w:szCs w:val="20"/>
              </w:rPr>
              <w:t>2</w:t>
            </w:r>
            <w:r w:rsidR="00BC69DC">
              <w:rPr>
                <w:rFonts w:ascii="Times New Roman" w:hAnsi="Times New Roman" w:cs="Times New Roman"/>
                <w:b/>
                <w:bCs/>
                <w:sz w:val="20"/>
                <w:szCs w:val="20"/>
              </w:rPr>
              <w:t xml:space="preserve"> (P’000)</w:t>
            </w:r>
          </w:p>
        </w:tc>
        <w:tc>
          <w:tcPr>
            <w:tcW w:w="1950" w:type="dxa"/>
            <w:tcBorders>
              <w:top w:val="nil"/>
              <w:left w:val="nil"/>
              <w:bottom w:val="single" w:sz="8" w:space="0" w:color="000000"/>
              <w:right w:val="single" w:sz="8" w:space="0" w:color="auto"/>
            </w:tcBorders>
            <w:shd w:val="clear" w:color="000000" w:fill="92D050"/>
            <w:hideMark/>
          </w:tcPr>
          <w:p w14:paraId="02C33153" w14:textId="7B85A689" w:rsidR="004A096A" w:rsidRPr="00EB3BFE" w:rsidRDefault="004A096A" w:rsidP="004A096A">
            <w:pPr>
              <w:spacing w:after="0" w:line="240" w:lineRule="auto"/>
              <w:rPr>
                <w:rFonts w:ascii="Times New Roman" w:eastAsia="Times New Roman" w:hAnsi="Times New Roman" w:cs="Times New Roman"/>
                <w:b/>
                <w:bCs/>
                <w:sz w:val="20"/>
                <w:szCs w:val="20"/>
                <w:lang w:val="en-US"/>
              </w:rPr>
            </w:pPr>
            <w:r w:rsidRPr="00EB3BFE">
              <w:rPr>
                <w:rFonts w:ascii="Times New Roman" w:hAnsi="Times New Roman" w:cs="Times New Roman"/>
                <w:b/>
                <w:bCs/>
                <w:sz w:val="20"/>
                <w:szCs w:val="20"/>
              </w:rPr>
              <w:t>As at period end</w:t>
            </w:r>
            <w:r w:rsidR="004024E0" w:rsidRPr="00EB3BFE">
              <w:rPr>
                <w:rFonts w:ascii="Times New Roman" w:hAnsi="Times New Roman" w:cs="Times New Roman"/>
                <w:b/>
                <w:bCs/>
                <w:sz w:val="20"/>
                <w:szCs w:val="20"/>
              </w:rPr>
              <w:t xml:space="preserve"> </w:t>
            </w:r>
            <w:r w:rsidR="000B44AB">
              <w:rPr>
                <w:rFonts w:ascii="Times New Roman" w:hAnsi="Times New Roman" w:cs="Times New Roman"/>
                <w:b/>
                <w:bCs/>
                <w:sz w:val="20"/>
                <w:szCs w:val="20"/>
              </w:rPr>
              <w:t>3</w:t>
            </w:r>
            <w:r w:rsidR="00291C48">
              <w:rPr>
                <w:rFonts w:ascii="Times New Roman" w:hAnsi="Times New Roman" w:cs="Times New Roman"/>
                <w:b/>
                <w:bCs/>
                <w:sz w:val="20"/>
                <w:szCs w:val="20"/>
              </w:rPr>
              <w:t>1</w:t>
            </w:r>
            <w:r w:rsidR="000B44AB">
              <w:rPr>
                <w:rFonts w:ascii="Times New Roman" w:hAnsi="Times New Roman" w:cs="Times New Roman"/>
                <w:b/>
                <w:bCs/>
                <w:sz w:val="20"/>
                <w:szCs w:val="20"/>
              </w:rPr>
              <w:t xml:space="preserve"> </w:t>
            </w:r>
            <w:r w:rsidR="00C92FD7">
              <w:rPr>
                <w:rFonts w:ascii="Times New Roman" w:hAnsi="Times New Roman" w:cs="Times New Roman"/>
                <w:b/>
                <w:bCs/>
                <w:sz w:val="20"/>
                <w:szCs w:val="20"/>
              </w:rPr>
              <w:t>March</w:t>
            </w:r>
            <w:r w:rsidR="005C377E">
              <w:rPr>
                <w:rFonts w:ascii="Times New Roman" w:hAnsi="Times New Roman" w:cs="Times New Roman"/>
                <w:b/>
                <w:bCs/>
                <w:sz w:val="20"/>
                <w:szCs w:val="20"/>
              </w:rPr>
              <w:t xml:space="preserve"> 202</w:t>
            </w:r>
            <w:r w:rsidR="007923B5">
              <w:rPr>
                <w:rFonts w:ascii="Times New Roman" w:hAnsi="Times New Roman" w:cs="Times New Roman"/>
                <w:b/>
                <w:bCs/>
                <w:sz w:val="20"/>
                <w:szCs w:val="20"/>
              </w:rPr>
              <w:t>2</w:t>
            </w:r>
            <w:r w:rsidR="0048665A">
              <w:rPr>
                <w:rFonts w:ascii="Times New Roman" w:hAnsi="Times New Roman" w:cs="Times New Roman"/>
                <w:b/>
                <w:bCs/>
                <w:sz w:val="20"/>
                <w:szCs w:val="20"/>
              </w:rPr>
              <w:t xml:space="preserve"> (P’000)</w:t>
            </w:r>
          </w:p>
        </w:tc>
      </w:tr>
      <w:tr w:rsidR="004A096A" w:rsidRPr="00EB3BFE" w14:paraId="19996F3C" w14:textId="77777777" w:rsidTr="00C07380">
        <w:trPr>
          <w:trHeight w:val="345"/>
        </w:trPr>
        <w:tc>
          <w:tcPr>
            <w:tcW w:w="9170" w:type="dxa"/>
            <w:gridSpan w:val="3"/>
            <w:tcBorders>
              <w:top w:val="single" w:sz="8" w:space="0" w:color="000000"/>
              <w:left w:val="single" w:sz="8" w:space="0" w:color="auto"/>
              <w:bottom w:val="single" w:sz="8" w:space="0" w:color="000000"/>
              <w:right w:val="single" w:sz="8" w:space="0" w:color="000000"/>
            </w:tcBorders>
            <w:shd w:val="clear" w:color="000000" w:fill="92D050"/>
            <w:hideMark/>
          </w:tcPr>
          <w:p w14:paraId="065F85B7" w14:textId="1FBAF87C" w:rsidR="004A096A" w:rsidRPr="00EB3BFE" w:rsidRDefault="004A096A" w:rsidP="004A096A">
            <w:pPr>
              <w:spacing w:after="0" w:line="240" w:lineRule="auto"/>
              <w:rPr>
                <w:rFonts w:ascii="Times New Roman" w:eastAsia="Times New Roman" w:hAnsi="Times New Roman" w:cs="Times New Roman"/>
                <w:b/>
                <w:bCs/>
                <w:sz w:val="20"/>
                <w:szCs w:val="20"/>
                <w:lang w:val="en-US"/>
              </w:rPr>
            </w:pPr>
            <w:r w:rsidRPr="00EB3BFE">
              <w:rPr>
                <w:rFonts w:ascii="Times New Roman" w:hAnsi="Times New Roman" w:cs="Times New Roman"/>
                <w:b/>
                <w:bCs/>
                <w:sz w:val="20"/>
                <w:szCs w:val="20"/>
              </w:rPr>
              <w:t>Assets</w:t>
            </w:r>
          </w:p>
        </w:tc>
      </w:tr>
      <w:tr w:rsidR="000B44AB" w:rsidRPr="00EB3BFE" w14:paraId="3BB8C03B" w14:textId="77777777" w:rsidTr="0048665A">
        <w:trPr>
          <w:trHeight w:val="345"/>
        </w:trPr>
        <w:tc>
          <w:tcPr>
            <w:tcW w:w="5093" w:type="dxa"/>
            <w:tcBorders>
              <w:top w:val="nil"/>
              <w:left w:val="single" w:sz="8" w:space="0" w:color="auto"/>
              <w:bottom w:val="single" w:sz="8" w:space="0" w:color="000000"/>
              <w:right w:val="single" w:sz="8" w:space="0" w:color="000000"/>
            </w:tcBorders>
            <w:shd w:val="clear" w:color="auto" w:fill="auto"/>
            <w:hideMark/>
          </w:tcPr>
          <w:p w14:paraId="2E4D1BA7" w14:textId="17CA670F" w:rsidR="000B44AB" w:rsidRPr="00EB3BFE" w:rsidRDefault="000B44AB" w:rsidP="000B44AB">
            <w:pPr>
              <w:spacing w:after="0" w:line="240" w:lineRule="auto"/>
              <w:jc w:val="both"/>
              <w:rPr>
                <w:rFonts w:ascii="Times New Roman" w:eastAsia="Times New Roman" w:hAnsi="Times New Roman" w:cs="Times New Roman"/>
                <w:sz w:val="20"/>
                <w:szCs w:val="20"/>
                <w:lang w:val="en-US"/>
              </w:rPr>
            </w:pPr>
            <w:r w:rsidRPr="00EB3BFE">
              <w:rPr>
                <w:rFonts w:ascii="Times New Roman" w:hAnsi="Times New Roman" w:cs="Times New Roman"/>
                <w:sz w:val="20"/>
                <w:szCs w:val="20"/>
              </w:rPr>
              <w:t>Cash and balances at central banks</w:t>
            </w:r>
          </w:p>
        </w:tc>
        <w:tc>
          <w:tcPr>
            <w:tcW w:w="2127" w:type="dxa"/>
            <w:tcBorders>
              <w:top w:val="nil"/>
              <w:left w:val="nil"/>
              <w:bottom w:val="single" w:sz="8" w:space="0" w:color="000000"/>
              <w:right w:val="single" w:sz="8" w:space="0" w:color="000000"/>
            </w:tcBorders>
            <w:shd w:val="clear" w:color="auto" w:fill="auto"/>
            <w:hideMark/>
          </w:tcPr>
          <w:p w14:paraId="5F2A9AC0" w14:textId="7C1B70E3" w:rsidR="000B44AB" w:rsidRPr="000B44AB" w:rsidRDefault="007923B5" w:rsidP="000B44AB">
            <w:pPr>
              <w:spacing w:after="0" w:line="240" w:lineRule="auto"/>
              <w:jc w:val="right"/>
              <w:rPr>
                <w:rFonts w:ascii="Times New Roman" w:eastAsia="Times New Roman" w:hAnsi="Times New Roman" w:cs="Times New Roman"/>
                <w:sz w:val="20"/>
                <w:szCs w:val="20"/>
                <w:lang w:val="en-US"/>
              </w:rPr>
            </w:pPr>
            <w:r w:rsidRPr="007923B5">
              <w:rPr>
                <w:rFonts w:ascii="Times New Roman" w:hAnsi="Times New Roman" w:cs="Times New Roman"/>
                <w:sz w:val="20"/>
                <w:szCs w:val="20"/>
              </w:rPr>
              <w:t>129,064</w:t>
            </w:r>
          </w:p>
        </w:tc>
        <w:tc>
          <w:tcPr>
            <w:tcW w:w="1950" w:type="dxa"/>
            <w:tcBorders>
              <w:top w:val="nil"/>
              <w:left w:val="nil"/>
              <w:bottom w:val="single" w:sz="8" w:space="0" w:color="000000"/>
              <w:right w:val="single" w:sz="8" w:space="0" w:color="auto"/>
            </w:tcBorders>
            <w:shd w:val="clear" w:color="000000" w:fill="E0E0E0"/>
            <w:hideMark/>
          </w:tcPr>
          <w:p w14:paraId="007FA3BA" w14:textId="3F39064F" w:rsidR="000B44AB" w:rsidRPr="000B44AB" w:rsidRDefault="007923B5" w:rsidP="000B44AB">
            <w:pPr>
              <w:spacing w:after="0" w:line="240" w:lineRule="auto"/>
              <w:jc w:val="right"/>
              <w:rPr>
                <w:rFonts w:ascii="Times New Roman" w:eastAsia="Times New Roman" w:hAnsi="Times New Roman" w:cs="Times New Roman"/>
                <w:sz w:val="20"/>
                <w:szCs w:val="20"/>
                <w:lang w:val="en-US"/>
              </w:rPr>
            </w:pPr>
            <w:r w:rsidRPr="007923B5">
              <w:rPr>
                <w:rFonts w:ascii="Times New Roman" w:hAnsi="Times New Roman" w:cs="Times New Roman"/>
                <w:sz w:val="20"/>
                <w:szCs w:val="20"/>
              </w:rPr>
              <w:t>129,064</w:t>
            </w:r>
          </w:p>
        </w:tc>
      </w:tr>
      <w:tr w:rsidR="000B44AB" w:rsidRPr="00EB3BFE" w14:paraId="26C32A6E" w14:textId="77777777" w:rsidTr="0048665A">
        <w:trPr>
          <w:trHeight w:val="345"/>
        </w:trPr>
        <w:tc>
          <w:tcPr>
            <w:tcW w:w="5093" w:type="dxa"/>
            <w:tcBorders>
              <w:top w:val="nil"/>
              <w:left w:val="single" w:sz="8" w:space="0" w:color="auto"/>
              <w:bottom w:val="single" w:sz="8" w:space="0" w:color="000000"/>
              <w:right w:val="single" w:sz="8" w:space="0" w:color="000000"/>
            </w:tcBorders>
            <w:shd w:val="clear" w:color="auto" w:fill="auto"/>
            <w:hideMark/>
          </w:tcPr>
          <w:p w14:paraId="39B370FA" w14:textId="5689E9CA" w:rsidR="000B44AB" w:rsidRPr="00EB3BFE" w:rsidRDefault="000B44AB" w:rsidP="000B44AB">
            <w:pPr>
              <w:spacing w:after="0" w:line="240" w:lineRule="auto"/>
              <w:jc w:val="both"/>
              <w:rPr>
                <w:rFonts w:ascii="Times New Roman" w:eastAsia="Times New Roman" w:hAnsi="Times New Roman" w:cs="Times New Roman"/>
                <w:sz w:val="20"/>
                <w:szCs w:val="20"/>
                <w:lang w:val="en-US"/>
              </w:rPr>
            </w:pPr>
            <w:r w:rsidRPr="00EB3BFE">
              <w:rPr>
                <w:rFonts w:ascii="Times New Roman" w:hAnsi="Times New Roman" w:cs="Times New Roman"/>
                <w:sz w:val="20"/>
                <w:szCs w:val="20"/>
              </w:rPr>
              <w:t>Items in the course of collection from other banks</w:t>
            </w:r>
          </w:p>
        </w:tc>
        <w:tc>
          <w:tcPr>
            <w:tcW w:w="2127" w:type="dxa"/>
            <w:tcBorders>
              <w:top w:val="nil"/>
              <w:left w:val="nil"/>
              <w:bottom w:val="single" w:sz="8" w:space="0" w:color="000000"/>
              <w:right w:val="single" w:sz="8" w:space="0" w:color="000000"/>
            </w:tcBorders>
            <w:shd w:val="clear" w:color="auto" w:fill="auto"/>
            <w:hideMark/>
          </w:tcPr>
          <w:p w14:paraId="3401E815" w14:textId="3539CF8E" w:rsidR="000B44AB" w:rsidRPr="000B44AB" w:rsidRDefault="007923B5" w:rsidP="000B44AB">
            <w:pPr>
              <w:spacing w:after="0" w:line="240" w:lineRule="auto"/>
              <w:jc w:val="right"/>
              <w:rPr>
                <w:rFonts w:ascii="Times New Roman" w:eastAsia="Times New Roman" w:hAnsi="Times New Roman" w:cs="Times New Roman"/>
                <w:sz w:val="20"/>
                <w:szCs w:val="20"/>
                <w:lang w:val="en-US"/>
              </w:rPr>
            </w:pPr>
            <w:r w:rsidRPr="007923B5">
              <w:rPr>
                <w:rFonts w:ascii="Times New Roman" w:hAnsi="Times New Roman" w:cs="Times New Roman"/>
                <w:sz w:val="20"/>
                <w:szCs w:val="20"/>
              </w:rPr>
              <w:t>738,531</w:t>
            </w:r>
          </w:p>
        </w:tc>
        <w:tc>
          <w:tcPr>
            <w:tcW w:w="1950" w:type="dxa"/>
            <w:tcBorders>
              <w:top w:val="nil"/>
              <w:left w:val="nil"/>
              <w:bottom w:val="single" w:sz="8" w:space="0" w:color="000000"/>
              <w:right w:val="single" w:sz="8" w:space="0" w:color="auto"/>
            </w:tcBorders>
            <w:shd w:val="clear" w:color="000000" w:fill="E0E0E0"/>
            <w:hideMark/>
          </w:tcPr>
          <w:p w14:paraId="48314F7C" w14:textId="74E0D4F8" w:rsidR="000B44AB" w:rsidRPr="000B44AB" w:rsidRDefault="007923B5" w:rsidP="000B44AB">
            <w:pPr>
              <w:spacing w:after="0" w:line="240" w:lineRule="auto"/>
              <w:jc w:val="right"/>
              <w:rPr>
                <w:rFonts w:ascii="Times New Roman" w:eastAsia="Times New Roman" w:hAnsi="Times New Roman" w:cs="Times New Roman"/>
                <w:sz w:val="20"/>
                <w:szCs w:val="20"/>
                <w:lang w:val="en-US"/>
              </w:rPr>
            </w:pPr>
            <w:r w:rsidRPr="007923B5">
              <w:rPr>
                <w:rFonts w:ascii="Times New Roman" w:hAnsi="Times New Roman" w:cs="Times New Roman"/>
                <w:sz w:val="20"/>
                <w:szCs w:val="20"/>
              </w:rPr>
              <w:t>738,531</w:t>
            </w:r>
          </w:p>
        </w:tc>
      </w:tr>
      <w:tr w:rsidR="000B44AB" w:rsidRPr="00EB3BFE" w14:paraId="31C53617" w14:textId="77777777" w:rsidTr="0048665A">
        <w:trPr>
          <w:trHeight w:val="345"/>
        </w:trPr>
        <w:tc>
          <w:tcPr>
            <w:tcW w:w="5093" w:type="dxa"/>
            <w:tcBorders>
              <w:top w:val="nil"/>
              <w:left w:val="single" w:sz="8" w:space="0" w:color="auto"/>
              <w:bottom w:val="single" w:sz="8" w:space="0" w:color="000000"/>
              <w:right w:val="single" w:sz="8" w:space="0" w:color="000000"/>
            </w:tcBorders>
            <w:shd w:val="clear" w:color="auto" w:fill="auto"/>
            <w:hideMark/>
          </w:tcPr>
          <w:p w14:paraId="283F8465" w14:textId="2A9C523A" w:rsidR="000B44AB" w:rsidRPr="00EB3BFE" w:rsidRDefault="000B44AB" w:rsidP="000B44AB">
            <w:pPr>
              <w:spacing w:after="0" w:line="240" w:lineRule="auto"/>
              <w:jc w:val="both"/>
              <w:rPr>
                <w:rFonts w:ascii="Times New Roman" w:eastAsia="Times New Roman" w:hAnsi="Times New Roman" w:cs="Times New Roman"/>
                <w:sz w:val="20"/>
                <w:szCs w:val="20"/>
                <w:lang w:val="en-US"/>
              </w:rPr>
            </w:pPr>
            <w:r w:rsidRPr="00EB3BFE">
              <w:rPr>
                <w:rFonts w:ascii="Times New Roman" w:hAnsi="Times New Roman" w:cs="Times New Roman"/>
                <w:sz w:val="20"/>
                <w:szCs w:val="20"/>
              </w:rPr>
              <w:t>Trading portfolio assets</w:t>
            </w:r>
          </w:p>
        </w:tc>
        <w:tc>
          <w:tcPr>
            <w:tcW w:w="2127" w:type="dxa"/>
            <w:tcBorders>
              <w:top w:val="nil"/>
              <w:left w:val="nil"/>
              <w:bottom w:val="single" w:sz="8" w:space="0" w:color="000000"/>
              <w:right w:val="single" w:sz="8" w:space="0" w:color="000000"/>
            </w:tcBorders>
            <w:shd w:val="clear" w:color="auto" w:fill="auto"/>
            <w:hideMark/>
          </w:tcPr>
          <w:p w14:paraId="27C6E6A4" w14:textId="16994051" w:rsidR="000B44AB" w:rsidRPr="000B44AB" w:rsidRDefault="000B44AB" w:rsidP="000B44AB">
            <w:pPr>
              <w:spacing w:after="0" w:line="240" w:lineRule="auto"/>
              <w:jc w:val="right"/>
              <w:rPr>
                <w:rFonts w:ascii="Times New Roman" w:eastAsia="Times New Roman" w:hAnsi="Times New Roman" w:cs="Times New Roman"/>
                <w:sz w:val="20"/>
                <w:szCs w:val="20"/>
                <w:lang w:val="en-US"/>
              </w:rPr>
            </w:pPr>
            <w:r w:rsidRPr="000B44AB">
              <w:rPr>
                <w:rFonts w:ascii="Times New Roman" w:hAnsi="Times New Roman" w:cs="Times New Roman"/>
                <w:sz w:val="20"/>
                <w:szCs w:val="20"/>
              </w:rPr>
              <w:t xml:space="preserve"> -   </w:t>
            </w:r>
          </w:p>
        </w:tc>
        <w:tc>
          <w:tcPr>
            <w:tcW w:w="1950" w:type="dxa"/>
            <w:tcBorders>
              <w:top w:val="nil"/>
              <w:left w:val="nil"/>
              <w:bottom w:val="single" w:sz="8" w:space="0" w:color="000000"/>
              <w:right w:val="single" w:sz="8" w:space="0" w:color="auto"/>
            </w:tcBorders>
            <w:shd w:val="clear" w:color="000000" w:fill="E0E0E0"/>
            <w:hideMark/>
          </w:tcPr>
          <w:p w14:paraId="148AF427" w14:textId="489A4A6A" w:rsidR="000B44AB" w:rsidRPr="000B44AB" w:rsidRDefault="000B44AB" w:rsidP="000B44AB">
            <w:pPr>
              <w:spacing w:after="0" w:line="240" w:lineRule="auto"/>
              <w:jc w:val="right"/>
              <w:rPr>
                <w:rFonts w:ascii="Times New Roman" w:eastAsia="Times New Roman" w:hAnsi="Times New Roman" w:cs="Times New Roman"/>
                <w:sz w:val="20"/>
                <w:szCs w:val="20"/>
                <w:lang w:val="en-US"/>
              </w:rPr>
            </w:pPr>
            <w:r w:rsidRPr="000B44AB">
              <w:rPr>
                <w:rFonts w:ascii="Times New Roman" w:hAnsi="Times New Roman" w:cs="Times New Roman"/>
                <w:sz w:val="20"/>
                <w:szCs w:val="20"/>
              </w:rPr>
              <w:t xml:space="preserve"> -   </w:t>
            </w:r>
          </w:p>
        </w:tc>
      </w:tr>
      <w:tr w:rsidR="000B44AB" w:rsidRPr="00EB3BFE" w14:paraId="11A6D103" w14:textId="77777777" w:rsidTr="0048665A">
        <w:trPr>
          <w:trHeight w:val="345"/>
        </w:trPr>
        <w:tc>
          <w:tcPr>
            <w:tcW w:w="5093" w:type="dxa"/>
            <w:tcBorders>
              <w:top w:val="nil"/>
              <w:left w:val="single" w:sz="8" w:space="0" w:color="auto"/>
              <w:bottom w:val="single" w:sz="8" w:space="0" w:color="000000"/>
              <w:right w:val="single" w:sz="8" w:space="0" w:color="000000"/>
            </w:tcBorders>
            <w:shd w:val="clear" w:color="auto" w:fill="auto"/>
            <w:hideMark/>
          </w:tcPr>
          <w:p w14:paraId="75B8D37D" w14:textId="2F33587C" w:rsidR="000B44AB" w:rsidRPr="00EB3BFE" w:rsidRDefault="000B44AB" w:rsidP="000B44AB">
            <w:pPr>
              <w:spacing w:after="0" w:line="240" w:lineRule="auto"/>
              <w:jc w:val="both"/>
              <w:rPr>
                <w:rFonts w:ascii="Times New Roman" w:eastAsia="Times New Roman" w:hAnsi="Times New Roman" w:cs="Times New Roman"/>
                <w:sz w:val="20"/>
                <w:szCs w:val="20"/>
                <w:lang w:val="en-US"/>
              </w:rPr>
            </w:pPr>
            <w:r w:rsidRPr="00EB3BFE">
              <w:rPr>
                <w:rFonts w:ascii="Times New Roman" w:hAnsi="Times New Roman" w:cs="Times New Roman"/>
                <w:sz w:val="20"/>
                <w:szCs w:val="20"/>
              </w:rPr>
              <w:t>Financial assets designated at fair value</w:t>
            </w:r>
          </w:p>
        </w:tc>
        <w:tc>
          <w:tcPr>
            <w:tcW w:w="2127" w:type="dxa"/>
            <w:tcBorders>
              <w:top w:val="nil"/>
              <w:left w:val="nil"/>
              <w:bottom w:val="single" w:sz="8" w:space="0" w:color="000000"/>
              <w:right w:val="single" w:sz="8" w:space="0" w:color="000000"/>
            </w:tcBorders>
            <w:shd w:val="clear" w:color="auto" w:fill="auto"/>
            <w:hideMark/>
          </w:tcPr>
          <w:p w14:paraId="4E965905" w14:textId="46CDDAE4" w:rsidR="000B44AB" w:rsidRPr="000B44AB" w:rsidRDefault="004A5AF2" w:rsidP="000B44AB">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950" w:type="dxa"/>
            <w:tcBorders>
              <w:top w:val="nil"/>
              <w:left w:val="nil"/>
              <w:bottom w:val="single" w:sz="8" w:space="0" w:color="000000"/>
              <w:right w:val="single" w:sz="8" w:space="0" w:color="auto"/>
            </w:tcBorders>
            <w:shd w:val="clear" w:color="000000" w:fill="E0E0E0"/>
            <w:hideMark/>
          </w:tcPr>
          <w:p w14:paraId="78E20355" w14:textId="2EC97FC2" w:rsidR="000B44AB" w:rsidRPr="000B44AB" w:rsidRDefault="004A5AF2" w:rsidP="000B44AB">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0B44AB" w:rsidRPr="00EB3BFE" w14:paraId="24D2091F" w14:textId="77777777" w:rsidTr="0048665A">
        <w:trPr>
          <w:trHeight w:val="345"/>
        </w:trPr>
        <w:tc>
          <w:tcPr>
            <w:tcW w:w="5093" w:type="dxa"/>
            <w:tcBorders>
              <w:top w:val="nil"/>
              <w:left w:val="single" w:sz="8" w:space="0" w:color="auto"/>
              <w:bottom w:val="single" w:sz="8" w:space="0" w:color="000000"/>
              <w:right w:val="single" w:sz="8" w:space="0" w:color="000000"/>
            </w:tcBorders>
            <w:shd w:val="clear" w:color="auto" w:fill="auto"/>
            <w:hideMark/>
          </w:tcPr>
          <w:p w14:paraId="47AD20C1" w14:textId="34FDC0B8" w:rsidR="000B44AB" w:rsidRPr="00EB3BFE" w:rsidRDefault="000B44AB" w:rsidP="000B44AB">
            <w:pPr>
              <w:spacing w:after="0" w:line="240" w:lineRule="auto"/>
              <w:jc w:val="both"/>
              <w:rPr>
                <w:rFonts w:ascii="Times New Roman" w:eastAsia="Times New Roman" w:hAnsi="Times New Roman" w:cs="Times New Roman"/>
                <w:sz w:val="20"/>
                <w:szCs w:val="20"/>
                <w:lang w:val="en-US"/>
              </w:rPr>
            </w:pPr>
            <w:r w:rsidRPr="00EB3BFE">
              <w:rPr>
                <w:rFonts w:ascii="Times New Roman" w:hAnsi="Times New Roman" w:cs="Times New Roman"/>
                <w:sz w:val="20"/>
                <w:szCs w:val="20"/>
              </w:rPr>
              <w:t>Derivative financial instruments</w:t>
            </w:r>
          </w:p>
        </w:tc>
        <w:tc>
          <w:tcPr>
            <w:tcW w:w="2127" w:type="dxa"/>
            <w:tcBorders>
              <w:top w:val="nil"/>
              <w:left w:val="nil"/>
              <w:bottom w:val="single" w:sz="8" w:space="0" w:color="000000"/>
              <w:right w:val="single" w:sz="8" w:space="0" w:color="000000"/>
            </w:tcBorders>
            <w:shd w:val="clear" w:color="auto" w:fill="auto"/>
            <w:hideMark/>
          </w:tcPr>
          <w:p w14:paraId="57CE5C96" w14:textId="34D41271" w:rsidR="000B44AB" w:rsidRPr="000B44AB" w:rsidRDefault="000B44AB" w:rsidP="000B44AB">
            <w:pPr>
              <w:spacing w:after="0" w:line="240" w:lineRule="auto"/>
              <w:jc w:val="right"/>
              <w:rPr>
                <w:rFonts w:ascii="Times New Roman" w:eastAsia="Times New Roman" w:hAnsi="Times New Roman" w:cs="Times New Roman"/>
                <w:sz w:val="20"/>
                <w:szCs w:val="20"/>
                <w:lang w:val="en-US"/>
              </w:rPr>
            </w:pPr>
            <w:r w:rsidRPr="000B44AB">
              <w:rPr>
                <w:rFonts w:ascii="Times New Roman" w:hAnsi="Times New Roman" w:cs="Times New Roman"/>
                <w:sz w:val="20"/>
                <w:szCs w:val="20"/>
              </w:rPr>
              <w:t xml:space="preserve"> -   </w:t>
            </w:r>
          </w:p>
        </w:tc>
        <w:tc>
          <w:tcPr>
            <w:tcW w:w="1950" w:type="dxa"/>
            <w:tcBorders>
              <w:top w:val="nil"/>
              <w:left w:val="nil"/>
              <w:bottom w:val="single" w:sz="8" w:space="0" w:color="000000"/>
              <w:right w:val="single" w:sz="8" w:space="0" w:color="auto"/>
            </w:tcBorders>
            <w:shd w:val="clear" w:color="000000" w:fill="E0E0E0"/>
            <w:hideMark/>
          </w:tcPr>
          <w:p w14:paraId="22C2C37B" w14:textId="5729ECC8" w:rsidR="000B44AB" w:rsidRPr="000B44AB" w:rsidRDefault="000B44AB" w:rsidP="000B44AB">
            <w:pPr>
              <w:spacing w:after="0" w:line="240" w:lineRule="auto"/>
              <w:jc w:val="right"/>
              <w:rPr>
                <w:rFonts w:ascii="Times New Roman" w:eastAsia="Times New Roman" w:hAnsi="Times New Roman" w:cs="Times New Roman"/>
                <w:sz w:val="20"/>
                <w:szCs w:val="20"/>
                <w:lang w:val="en-US"/>
              </w:rPr>
            </w:pPr>
            <w:r w:rsidRPr="000B44AB">
              <w:rPr>
                <w:rFonts w:ascii="Times New Roman" w:hAnsi="Times New Roman" w:cs="Times New Roman"/>
                <w:sz w:val="20"/>
                <w:szCs w:val="20"/>
              </w:rPr>
              <w:t xml:space="preserve"> -   </w:t>
            </w:r>
          </w:p>
        </w:tc>
      </w:tr>
      <w:tr w:rsidR="000B44AB" w:rsidRPr="00EB3BFE" w14:paraId="407369C4" w14:textId="77777777" w:rsidTr="0048665A">
        <w:trPr>
          <w:trHeight w:val="345"/>
        </w:trPr>
        <w:tc>
          <w:tcPr>
            <w:tcW w:w="5093" w:type="dxa"/>
            <w:tcBorders>
              <w:top w:val="nil"/>
              <w:left w:val="single" w:sz="8" w:space="0" w:color="auto"/>
              <w:bottom w:val="single" w:sz="8" w:space="0" w:color="000000"/>
              <w:right w:val="single" w:sz="8" w:space="0" w:color="000000"/>
            </w:tcBorders>
            <w:shd w:val="clear" w:color="auto" w:fill="auto"/>
            <w:hideMark/>
          </w:tcPr>
          <w:p w14:paraId="28B4B006" w14:textId="2FB5A904" w:rsidR="000B44AB" w:rsidRPr="00EB3BFE" w:rsidRDefault="000B44AB" w:rsidP="000B44AB">
            <w:pPr>
              <w:spacing w:after="0" w:line="240" w:lineRule="auto"/>
              <w:jc w:val="both"/>
              <w:rPr>
                <w:rFonts w:ascii="Times New Roman" w:eastAsia="Times New Roman" w:hAnsi="Times New Roman" w:cs="Times New Roman"/>
                <w:sz w:val="20"/>
                <w:szCs w:val="20"/>
                <w:lang w:val="en-US"/>
              </w:rPr>
            </w:pPr>
            <w:r w:rsidRPr="00EB3BFE">
              <w:rPr>
                <w:rFonts w:ascii="Times New Roman" w:hAnsi="Times New Roman" w:cs="Times New Roman"/>
                <w:sz w:val="20"/>
                <w:szCs w:val="20"/>
              </w:rPr>
              <w:t>Loans and advances to banks</w:t>
            </w:r>
          </w:p>
        </w:tc>
        <w:tc>
          <w:tcPr>
            <w:tcW w:w="2127" w:type="dxa"/>
            <w:tcBorders>
              <w:top w:val="nil"/>
              <w:left w:val="nil"/>
              <w:bottom w:val="single" w:sz="8" w:space="0" w:color="000000"/>
              <w:right w:val="single" w:sz="8" w:space="0" w:color="000000"/>
            </w:tcBorders>
            <w:shd w:val="clear" w:color="auto" w:fill="auto"/>
            <w:hideMark/>
          </w:tcPr>
          <w:p w14:paraId="36D18DC7" w14:textId="4AC43E09" w:rsidR="000B44AB" w:rsidRPr="000B44AB" w:rsidRDefault="000B44AB" w:rsidP="000B44AB">
            <w:pPr>
              <w:spacing w:after="0" w:line="240" w:lineRule="auto"/>
              <w:jc w:val="right"/>
              <w:rPr>
                <w:rFonts w:ascii="Times New Roman" w:eastAsia="Times New Roman" w:hAnsi="Times New Roman" w:cs="Times New Roman"/>
                <w:sz w:val="20"/>
                <w:szCs w:val="20"/>
                <w:lang w:val="en-US"/>
              </w:rPr>
            </w:pPr>
            <w:r w:rsidRPr="000B44AB">
              <w:rPr>
                <w:rFonts w:ascii="Times New Roman" w:hAnsi="Times New Roman" w:cs="Times New Roman"/>
                <w:sz w:val="20"/>
                <w:szCs w:val="20"/>
              </w:rPr>
              <w:t xml:space="preserve"> -   </w:t>
            </w:r>
          </w:p>
        </w:tc>
        <w:tc>
          <w:tcPr>
            <w:tcW w:w="1950" w:type="dxa"/>
            <w:tcBorders>
              <w:top w:val="nil"/>
              <w:left w:val="nil"/>
              <w:bottom w:val="single" w:sz="8" w:space="0" w:color="000000"/>
              <w:right w:val="single" w:sz="8" w:space="0" w:color="auto"/>
            </w:tcBorders>
            <w:shd w:val="clear" w:color="000000" w:fill="E0E0E0"/>
            <w:hideMark/>
          </w:tcPr>
          <w:p w14:paraId="2038DC98" w14:textId="6186C5C6" w:rsidR="000B44AB" w:rsidRPr="000B44AB" w:rsidRDefault="000B44AB" w:rsidP="000B44AB">
            <w:pPr>
              <w:spacing w:after="0" w:line="240" w:lineRule="auto"/>
              <w:jc w:val="right"/>
              <w:rPr>
                <w:rFonts w:ascii="Times New Roman" w:eastAsia="Times New Roman" w:hAnsi="Times New Roman" w:cs="Times New Roman"/>
                <w:sz w:val="20"/>
                <w:szCs w:val="20"/>
                <w:lang w:val="en-US"/>
              </w:rPr>
            </w:pPr>
            <w:r w:rsidRPr="000B44AB">
              <w:rPr>
                <w:rFonts w:ascii="Times New Roman" w:hAnsi="Times New Roman" w:cs="Times New Roman"/>
                <w:sz w:val="20"/>
                <w:szCs w:val="20"/>
              </w:rPr>
              <w:t xml:space="preserve"> -   </w:t>
            </w:r>
          </w:p>
        </w:tc>
      </w:tr>
      <w:tr w:rsidR="000B44AB" w:rsidRPr="00EB3BFE" w14:paraId="1BDF4226" w14:textId="77777777" w:rsidTr="0048665A">
        <w:trPr>
          <w:trHeight w:val="345"/>
        </w:trPr>
        <w:tc>
          <w:tcPr>
            <w:tcW w:w="5093" w:type="dxa"/>
            <w:tcBorders>
              <w:top w:val="nil"/>
              <w:left w:val="single" w:sz="8" w:space="0" w:color="auto"/>
              <w:bottom w:val="single" w:sz="8" w:space="0" w:color="000000"/>
              <w:right w:val="single" w:sz="8" w:space="0" w:color="000000"/>
            </w:tcBorders>
            <w:shd w:val="clear" w:color="auto" w:fill="auto"/>
            <w:hideMark/>
          </w:tcPr>
          <w:p w14:paraId="26AD6709" w14:textId="4252C790" w:rsidR="000B44AB" w:rsidRPr="00EB3BFE" w:rsidRDefault="000B44AB" w:rsidP="000B44AB">
            <w:pPr>
              <w:spacing w:after="0" w:line="240" w:lineRule="auto"/>
              <w:jc w:val="both"/>
              <w:rPr>
                <w:rFonts w:ascii="Times New Roman" w:eastAsia="Times New Roman" w:hAnsi="Times New Roman" w:cs="Times New Roman"/>
                <w:sz w:val="20"/>
                <w:szCs w:val="20"/>
                <w:lang w:val="en-US"/>
              </w:rPr>
            </w:pPr>
            <w:r w:rsidRPr="00EB3BFE">
              <w:rPr>
                <w:rFonts w:ascii="Times New Roman" w:hAnsi="Times New Roman" w:cs="Times New Roman"/>
                <w:sz w:val="20"/>
                <w:szCs w:val="20"/>
              </w:rPr>
              <w:t>Loans and advances to customers</w:t>
            </w:r>
          </w:p>
        </w:tc>
        <w:tc>
          <w:tcPr>
            <w:tcW w:w="2127" w:type="dxa"/>
            <w:tcBorders>
              <w:top w:val="nil"/>
              <w:left w:val="nil"/>
              <w:bottom w:val="single" w:sz="8" w:space="0" w:color="000000"/>
              <w:right w:val="single" w:sz="8" w:space="0" w:color="000000"/>
            </w:tcBorders>
            <w:shd w:val="clear" w:color="auto" w:fill="auto"/>
            <w:hideMark/>
          </w:tcPr>
          <w:p w14:paraId="65568E26" w14:textId="11050133" w:rsidR="000B44AB" w:rsidRPr="000B44AB" w:rsidRDefault="007923B5" w:rsidP="000B44AB">
            <w:pPr>
              <w:spacing w:after="0" w:line="240" w:lineRule="auto"/>
              <w:jc w:val="right"/>
              <w:rPr>
                <w:rFonts w:ascii="Times New Roman" w:eastAsia="Times New Roman" w:hAnsi="Times New Roman" w:cs="Times New Roman"/>
                <w:sz w:val="20"/>
                <w:szCs w:val="20"/>
                <w:lang w:val="en-US"/>
              </w:rPr>
            </w:pPr>
            <w:r w:rsidRPr="007923B5">
              <w:rPr>
                <w:rFonts w:ascii="Times New Roman" w:hAnsi="Times New Roman" w:cs="Times New Roman"/>
                <w:sz w:val="20"/>
                <w:szCs w:val="20"/>
              </w:rPr>
              <w:t>3,027,644</w:t>
            </w:r>
          </w:p>
        </w:tc>
        <w:tc>
          <w:tcPr>
            <w:tcW w:w="1950" w:type="dxa"/>
            <w:tcBorders>
              <w:top w:val="nil"/>
              <w:left w:val="nil"/>
              <w:bottom w:val="single" w:sz="8" w:space="0" w:color="000000"/>
              <w:right w:val="single" w:sz="8" w:space="0" w:color="auto"/>
            </w:tcBorders>
            <w:shd w:val="clear" w:color="000000" w:fill="E0E0E0"/>
            <w:hideMark/>
          </w:tcPr>
          <w:p w14:paraId="44982564" w14:textId="22DEFC7F" w:rsidR="000B44AB" w:rsidRPr="000B44AB" w:rsidRDefault="007923B5" w:rsidP="000B44AB">
            <w:pPr>
              <w:spacing w:after="0" w:line="240" w:lineRule="auto"/>
              <w:jc w:val="right"/>
              <w:rPr>
                <w:rFonts w:ascii="Times New Roman" w:eastAsia="Times New Roman" w:hAnsi="Times New Roman" w:cs="Times New Roman"/>
                <w:sz w:val="20"/>
                <w:szCs w:val="20"/>
                <w:lang w:val="en-US"/>
              </w:rPr>
            </w:pPr>
            <w:r w:rsidRPr="007923B5">
              <w:rPr>
                <w:rFonts w:ascii="Times New Roman" w:hAnsi="Times New Roman" w:cs="Times New Roman"/>
                <w:sz w:val="20"/>
                <w:szCs w:val="20"/>
              </w:rPr>
              <w:t>3,027,644</w:t>
            </w:r>
          </w:p>
        </w:tc>
      </w:tr>
      <w:tr w:rsidR="000B44AB" w:rsidRPr="00EB3BFE" w14:paraId="7E075814" w14:textId="77777777" w:rsidTr="0048665A">
        <w:trPr>
          <w:trHeight w:val="345"/>
        </w:trPr>
        <w:tc>
          <w:tcPr>
            <w:tcW w:w="5093" w:type="dxa"/>
            <w:tcBorders>
              <w:top w:val="nil"/>
              <w:left w:val="single" w:sz="8" w:space="0" w:color="auto"/>
              <w:bottom w:val="nil"/>
              <w:right w:val="single" w:sz="8" w:space="0" w:color="000000"/>
            </w:tcBorders>
            <w:shd w:val="clear" w:color="auto" w:fill="auto"/>
            <w:hideMark/>
          </w:tcPr>
          <w:p w14:paraId="5EF976F5" w14:textId="6AB23DE8" w:rsidR="000B44AB" w:rsidRPr="00EB3BFE" w:rsidRDefault="000B44AB" w:rsidP="000B44AB">
            <w:pPr>
              <w:spacing w:after="0" w:line="240" w:lineRule="auto"/>
              <w:jc w:val="both"/>
              <w:rPr>
                <w:rFonts w:ascii="Times New Roman" w:eastAsia="Times New Roman" w:hAnsi="Times New Roman" w:cs="Times New Roman"/>
                <w:sz w:val="20"/>
                <w:szCs w:val="20"/>
                <w:lang w:val="en-US"/>
              </w:rPr>
            </w:pPr>
            <w:r w:rsidRPr="00EB3BFE">
              <w:rPr>
                <w:rFonts w:ascii="Times New Roman" w:hAnsi="Times New Roman" w:cs="Times New Roman"/>
                <w:sz w:val="20"/>
                <w:szCs w:val="20"/>
              </w:rPr>
              <w:t>Reverse repurchase agreements and other similar</w:t>
            </w:r>
          </w:p>
        </w:tc>
        <w:tc>
          <w:tcPr>
            <w:tcW w:w="2127" w:type="dxa"/>
            <w:tcBorders>
              <w:top w:val="nil"/>
              <w:left w:val="nil"/>
              <w:bottom w:val="single" w:sz="8" w:space="0" w:color="000000"/>
              <w:right w:val="single" w:sz="8" w:space="0" w:color="000000"/>
            </w:tcBorders>
            <w:shd w:val="clear" w:color="auto" w:fill="auto"/>
            <w:hideMark/>
          </w:tcPr>
          <w:p w14:paraId="235575F7" w14:textId="3E7D913D" w:rsidR="000B44AB" w:rsidRPr="000B44AB" w:rsidRDefault="007923B5" w:rsidP="000B44AB">
            <w:pPr>
              <w:spacing w:after="0" w:line="240" w:lineRule="auto"/>
              <w:jc w:val="right"/>
              <w:rPr>
                <w:rFonts w:ascii="Times New Roman" w:eastAsia="Times New Roman" w:hAnsi="Times New Roman" w:cs="Times New Roman"/>
                <w:sz w:val="20"/>
                <w:szCs w:val="20"/>
                <w:lang w:val="en-US"/>
              </w:rPr>
            </w:pPr>
            <w:r w:rsidRPr="007923B5">
              <w:rPr>
                <w:rFonts w:ascii="Times New Roman" w:eastAsia="Times New Roman" w:hAnsi="Times New Roman" w:cs="Times New Roman"/>
                <w:sz w:val="20"/>
                <w:szCs w:val="20"/>
                <w:lang w:val="en-US"/>
              </w:rPr>
              <w:t>520,697</w:t>
            </w:r>
          </w:p>
        </w:tc>
        <w:tc>
          <w:tcPr>
            <w:tcW w:w="1950" w:type="dxa"/>
            <w:vMerge w:val="restart"/>
            <w:tcBorders>
              <w:top w:val="nil"/>
              <w:left w:val="single" w:sz="8" w:space="0" w:color="000000"/>
              <w:bottom w:val="single" w:sz="8" w:space="0" w:color="000000"/>
              <w:right w:val="single" w:sz="8" w:space="0" w:color="auto"/>
            </w:tcBorders>
            <w:shd w:val="clear" w:color="000000" w:fill="E0E0E0"/>
            <w:hideMark/>
          </w:tcPr>
          <w:p w14:paraId="54397A81" w14:textId="77777777" w:rsidR="007923B5" w:rsidRPr="007923B5" w:rsidRDefault="004E28B6" w:rsidP="00FD49CD">
            <w:pPr>
              <w:jc w:val="right"/>
              <w:rPr>
                <w:rFonts w:ascii="Times New Roman" w:hAnsi="Times New Roman" w:cs="Times New Roman"/>
                <w:sz w:val="20"/>
                <w:szCs w:val="20"/>
              </w:rPr>
            </w:pPr>
            <w:r>
              <w:rPr>
                <w:rFonts w:ascii="Times New Roman" w:hAnsi="Times New Roman" w:cs="Times New Roman"/>
                <w:sz w:val="20"/>
                <w:szCs w:val="20"/>
              </w:rPr>
              <w:t xml:space="preserve">         </w:t>
            </w:r>
            <w:r w:rsidR="007923B5" w:rsidRPr="007923B5">
              <w:rPr>
                <w:rFonts w:ascii="Times New Roman" w:hAnsi="Times New Roman" w:cs="Times New Roman"/>
                <w:sz w:val="20"/>
                <w:szCs w:val="20"/>
              </w:rPr>
              <w:t>520,697</w:t>
            </w:r>
          </w:p>
          <w:p w14:paraId="44BF2B63" w14:textId="3C1D9768" w:rsidR="00D669CC" w:rsidRPr="00D669CC" w:rsidRDefault="00D669CC" w:rsidP="00D669CC">
            <w:pPr>
              <w:rPr>
                <w:rFonts w:ascii="Times New Roman" w:hAnsi="Times New Roman" w:cs="Times New Roman"/>
                <w:sz w:val="20"/>
                <w:szCs w:val="20"/>
              </w:rPr>
            </w:pPr>
          </w:p>
          <w:p w14:paraId="209B39DB" w14:textId="551577CE" w:rsidR="000B44AB" w:rsidRPr="000B44AB" w:rsidRDefault="000B44AB" w:rsidP="000B44AB">
            <w:pPr>
              <w:jc w:val="right"/>
              <w:rPr>
                <w:rFonts w:ascii="Times New Roman" w:hAnsi="Times New Roman" w:cs="Times New Roman"/>
                <w:sz w:val="20"/>
                <w:szCs w:val="20"/>
                <w:lang w:val="en-US"/>
              </w:rPr>
            </w:pPr>
          </w:p>
        </w:tc>
      </w:tr>
      <w:tr w:rsidR="000B44AB" w:rsidRPr="00EB3BFE" w14:paraId="5A6EF3C6" w14:textId="77777777" w:rsidTr="0048665A">
        <w:trPr>
          <w:trHeight w:val="345"/>
        </w:trPr>
        <w:tc>
          <w:tcPr>
            <w:tcW w:w="5093" w:type="dxa"/>
            <w:tcBorders>
              <w:top w:val="nil"/>
              <w:left w:val="single" w:sz="8" w:space="0" w:color="auto"/>
              <w:bottom w:val="single" w:sz="8" w:space="0" w:color="000000"/>
              <w:right w:val="single" w:sz="8" w:space="0" w:color="000000"/>
            </w:tcBorders>
            <w:shd w:val="clear" w:color="auto" w:fill="auto"/>
            <w:hideMark/>
          </w:tcPr>
          <w:p w14:paraId="7ACAE914" w14:textId="0D72C51E" w:rsidR="000B44AB" w:rsidRPr="00EB3BFE" w:rsidRDefault="000B44AB" w:rsidP="000B44AB">
            <w:pPr>
              <w:spacing w:after="0" w:line="240" w:lineRule="auto"/>
              <w:jc w:val="both"/>
              <w:rPr>
                <w:rFonts w:ascii="Times New Roman" w:eastAsia="Times New Roman" w:hAnsi="Times New Roman" w:cs="Times New Roman"/>
                <w:sz w:val="20"/>
                <w:szCs w:val="20"/>
                <w:lang w:val="en-US"/>
              </w:rPr>
            </w:pPr>
            <w:r w:rsidRPr="00EB3BFE">
              <w:rPr>
                <w:rFonts w:ascii="Times New Roman" w:hAnsi="Times New Roman" w:cs="Times New Roman"/>
                <w:sz w:val="20"/>
                <w:szCs w:val="20"/>
              </w:rPr>
              <w:t>secured lending</w:t>
            </w:r>
          </w:p>
        </w:tc>
        <w:tc>
          <w:tcPr>
            <w:tcW w:w="2127" w:type="dxa"/>
            <w:tcBorders>
              <w:top w:val="nil"/>
              <w:left w:val="nil"/>
              <w:bottom w:val="single" w:sz="8" w:space="0" w:color="000000"/>
              <w:right w:val="single" w:sz="8" w:space="0" w:color="000000"/>
            </w:tcBorders>
            <w:shd w:val="clear" w:color="auto" w:fill="auto"/>
            <w:hideMark/>
          </w:tcPr>
          <w:p w14:paraId="555CA12C" w14:textId="0700BBA9" w:rsidR="000B44AB" w:rsidRPr="000B44AB" w:rsidRDefault="000B44AB" w:rsidP="000B44AB">
            <w:pPr>
              <w:spacing w:after="0" w:line="240" w:lineRule="auto"/>
              <w:jc w:val="right"/>
              <w:rPr>
                <w:rFonts w:ascii="Times New Roman" w:eastAsia="Times New Roman" w:hAnsi="Times New Roman" w:cs="Times New Roman"/>
                <w:sz w:val="20"/>
                <w:szCs w:val="20"/>
                <w:lang w:val="en-US"/>
              </w:rPr>
            </w:pPr>
          </w:p>
        </w:tc>
        <w:tc>
          <w:tcPr>
            <w:tcW w:w="1950" w:type="dxa"/>
            <w:vMerge/>
            <w:tcBorders>
              <w:top w:val="nil"/>
              <w:left w:val="single" w:sz="8" w:space="0" w:color="000000"/>
              <w:bottom w:val="single" w:sz="8" w:space="0" w:color="000000"/>
              <w:right w:val="single" w:sz="8" w:space="0" w:color="auto"/>
            </w:tcBorders>
            <w:hideMark/>
          </w:tcPr>
          <w:p w14:paraId="5D9FE708" w14:textId="77777777" w:rsidR="000B44AB" w:rsidRPr="000B44AB" w:rsidRDefault="000B44AB" w:rsidP="000B44AB">
            <w:pPr>
              <w:spacing w:after="0" w:line="240" w:lineRule="auto"/>
              <w:jc w:val="right"/>
              <w:rPr>
                <w:rFonts w:ascii="Times New Roman" w:eastAsia="Times New Roman" w:hAnsi="Times New Roman" w:cs="Times New Roman"/>
                <w:sz w:val="20"/>
                <w:szCs w:val="20"/>
                <w:lang w:val="en-US"/>
              </w:rPr>
            </w:pPr>
          </w:p>
        </w:tc>
      </w:tr>
      <w:tr w:rsidR="000B44AB" w:rsidRPr="00EB3BFE" w14:paraId="7AADD413" w14:textId="77777777" w:rsidTr="0048665A">
        <w:trPr>
          <w:trHeight w:val="345"/>
        </w:trPr>
        <w:tc>
          <w:tcPr>
            <w:tcW w:w="5093" w:type="dxa"/>
            <w:tcBorders>
              <w:top w:val="nil"/>
              <w:left w:val="single" w:sz="8" w:space="0" w:color="auto"/>
              <w:bottom w:val="single" w:sz="8" w:space="0" w:color="000000"/>
              <w:right w:val="single" w:sz="8" w:space="0" w:color="000000"/>
            </w:tcBorders>
            <w:shd w:val="clear" w:color="auto" w:fill="auto"/>
            <w:hideMark/>
          </w:tcPr>
          <w:p w14:paraId="6D8AD2E9" w14:textId="17D8C912" w:rsidR="000B44AB" w:rsidRPr="00EB3BFE" w:rsidRDefault="000B44AB" w:rsidP="000B44AB">
            <w:pPr>
              <w:spacing w:after="0" w:line="240" w:lineRule="auto"/>
              <w:jc w:val="both"/>
              <w:rPr>
                <w:rFonts w:ascii="Times New Roman" w:eastAsia="Times New Roman" w:hAnsi="Times New Roman" w:cs="Times New Roman"/>
                <w:sz w:val="20"/>
                <w:szCs w:val="20"/>
                <w:lang w:val="en-US"/>
              </w:rPr>
            </w:pPr>
            <w:r w:rsidRPr="00EB3BFE">
              <w:rPr>
                <w:rFonts w:ascii="Times New Roman" w:hAnsi="Times New Roman" w:cs="Times New Roman"/>
                <w:sz w:val="20"/>
                <w:szCs w:val="20"/>
              </w:rPr>
              <w:t>Available for sale financial investments</w:t>
            </w:r>
          </w:p>
        </w:tc>
        <w:tc>
          <w:tcPr>
            <w:tcW w:w="2127" w:type="dxa"/>
            <w:tcBorders>
              <w:top w:val="nil"/>
              <w:left w:val="nil"/>
              <w:bottom w:val="single" w:sz="8" w:space="0" w:color="000000"/>
              <w:right w:val="single" w:sz="8" w:space="0" w:color="000000"/>
            </w:tcBorders>
            <w:shd w:val="clear" w:color="auto" w:fill="auto"/>
            <w:hideMark/>
          </w:tcPr>
          <w:p w14:paraId="01CA28A3" w14:textId="09D3A8F0" w:rsidR="000B44AB" w:rsidRPr="000B44AB" w:rsidRDefault="000B44AB" w:rsidP="000B44AB">
            <w:pPr>
              <w:spacing w:after="0" w:line="240" w:lineRule="auto"/>
              <w:jc w:val="right"/>
              <w:rPr>
                <w:rFonts w:ascii="Times New Roman" w:eastAsia="Times New Roman" w:hAnsi="Times New Roman" w:cs="Times New Roman"/>
                <w:sz w:val="20"/>
                <w:szCs w:val="20"/>
                <w:lang w:val="en-US"/>
              </w:rPr>
            </w:pPr>
            <w:r w:rsidRPr="000B44AB">
              <w:rPr>
                <w:rFonts w:ascii="Times New Roman" w:hAnsi="Times New Roman" w:cs="Times New Roman"/>
                <w:sz w:val="20"/>
                <w:szCs w:val="20"/>
              </w:rPr>
              <w:t xml:space="preserve"> -   </w:t>
            </w:r>
          </w:p>
        </w:tc>
        <w:tc>
          <w:tcPr>
            <w:tcW w:w="1950" w:type="dxa"/>
            <w:tcBorders>
              <w:top w:val="nil"/>
              <w:left w:val="nil"/>
              <w:bottom w:val="single" w:sz="8" w:space="0" w:color="000000"/>
              <w:right w:val="single" w:sz="8" w:space="0" w:color="auto"/>
            </w:tcBorders>
            <w:shd w:val="clear" w:color="000000" w:fill="E0E0E0"/>
            <w:hideMark/>
          </w:tcPr>
          <w:p w14:paraId="4385AF96" w14:textId="084C89AA" w:rsidR="000B44AB" w:rsidRPr="000B44AB" w:rsidRDefault="000B44AB" w:rsidP="000B44AB">
            <w:pPr>
              <w:spacing w:after="0" w:line="240" w:lineRule="auto"/>
              <w:jc w:val="right"/>
              <w:rPr>
                <w:rFonts w:ascii="Times New Roman" w:eastAsia="Times New Roman" w:hAnsi="Times New Roman" w:cs="Times New Roman"/>
                <w:sz w:val="20"/>
                <w:szCs w:val="20"/>
                <w:lang w:val="en-US"/>
              </w:rPr>
            </w:pPr>
            <w:r w:rsidRPr="000B44AB">
              <w:rPr>
                <w:rFonts w:ascii="Times New Roman" w:hAnsi="Times New Roman" w:cs="Times New Roman"/>
                <w:sz w:val="20"/>
                <w:szCs w:val="20"/>
              </w:rPr>
              <w:t xml:space="preserve"> -   </w:t>
            </w:r>
          </w:p>
        </w:tc>
      </w:tr>
      <w:tr w:rsidR="000B44AB" w:rsidRPr="00EB3BFE" w14:paraId="1A903662" w14:textId="77777777" w:rsidTr="0048665A">
        <w:trPr>
          <w:trHeight w:val="345"/>
        </w:trPr>
        <w:tc>
          <w:tcPr>
            <w:tcW w:w="5093" w:type="dxa"/>
            <w:tcBorders>
              <w:top w:val="nil"/>
              <w:left w:val="single" w:sz="8" w:space="0" w:color="auto"/>
              <w:bottom w:val="single" w:sz="8" w:space="0" w:color="000000"/>
              <w:right w:val="single" w:sz="8" w:space="0" w:color="000000"/>
            </w:tcBorders>
            <w:shd w:val="clear" w:color="auto" w:fill="auto"/>
            <w:hideMark/>
          </w:tcPr>
          <w:p w14:paraId="79ADD1CA" w14:textId="459DC7E0" w:rsidR="000B44AB" w:rsidRPr="00EB3BFE" w:rsidRDefault="000B44AB" w:rsidP="000B44AB">
            <w:pPr>
              <w:spacing w:after="0" w:line="240" w:lineRule="auto"/>
              <w:jc w:val="both"/>
              <w:rPr>
                <w:rFonts w:ascii="Times New Roman" w:eastAsia="Times New Roman" w:hAnsi="Times New Roman" w:cs="Times New Roman"/>
                <w:sz w:val="20"/>
                <w:szCs w:val="20"/>
                <w:lang w:val="en-US"/>
              </w:rPr>
            </w:pPr>
            <w:r w:rsidRPr="00EB3BFE">
              <w:rPr>
                <w:rFonts w:ascii="Times New Roman" w:hAnsi="Times New Roman" w:cs="Times New Roman"/>
                <w:sz w:val="20"/>
                <w:szCs w:val="20"/>
              </w:rPr>
              <w:t>Current and deferred tax assets</w:t>
            </w:r>
          </w:p>
        </w:tc>
        <w:tc>
          <w:tcPr>
            <w:tcW w:w="2127" w:type="dxa"/>
            <w:tcBorders>
              <w:top w:val="nil"/>
              <w:left w:val="nil"/>
              <w:bottom w:val="single" w:sz="8" w:space="0" w:color="000000"/>
              <w:right w:val="single" w:sz="8" w:space="0" w:color="000000"/>
            </w:tcBorders>
            <w:shd w:val="clear" w:color="auto" w:fill="auto"/>
            <w:hideMark/>
          </w:tcPr>
          <w:p w14:paraId="1C561A03" w14:textId="7EB4FA60" w:rsidR="000B44AB" w:rsidRPr="000B44AB" w:rsidRDefault="00027F9D" w:rsidP="000B44AB">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950" w:type="dxa"/>
            <w:tcBorders>
              <w:top w:val="nil"/>
              <w:left w:val="nil"/>
              <w:bottom w:val="single" w:sz="8" w:space="0" w:color="000000"/>
              <w:right w:val="single" w:sz="8" w:space="0" w:color="auto"/>
            </w:tcBorders>
            <w:shd w:val="clear" w:color="000000" w:fill="E0E0E0"/>
            <w:hideMark/>
          </w:tcPr>
          <w:p w14:paraId="2E30A0A9" w14:textId="15792025" w:rsidR="000B44AB" w:rsidRPr="000B44AB" w:rsidRDefault="000B44AB" w:rsidP="000B44AB">
            <w:pPr>
              <w:spacing w:after="0" w:line="240" w:lineRule="auto"/>
              <w:jc w:val="right"/>
              <w:rPr>
                <w:rFonts w:ascii="Times New Roman" w:eastAsia="Times New Roman" w:hAnsi="Times New Roman" w:cs="Times New Roman"/>
                <w:sz w:val="20"/>
                <w:szCs w:val="20"/>
                <w:lang w:val="en-US"/>
              </w:rPr>
            </w:pPr>
            <w:r w:rsidRPr="000B44AB">
              <w:rPr>
                <w:rFonts w:ascii="Times New Roman" w:hAnsi="Times New Roman" w:cs="Times New Roman"/>
                <w:sz w:val="20"/>
                <w:szCs w:val="20"/>
              </w:rPr>
              <w:t xml:space="preserve"> -   </w:t>
            </w:r>
          </w:p>
        </w:tc>
      </w:tr>
      <w:tr w:rsidR="000B44AB" w:rsidRPr="00EB3BFE" w14:paraId="5F15E923" w14:textId="77777777" w:rsidTr="0048665A">
        <w:trPr>
          <w:trHeight w:val="345"/>
        </w:trPr>
        <w:tc>
          <w:tcPr>
            <w:tcW w:w="5093" w:type="dxa"/>
            <w:tcBorders>
              <w:top w:val="nil"/>
              <w:left w:val="single" w:sz="8" w:space="0" w:color="auto"/>
              <w:bottom w:val="single" w:sz="8" w:space="0" w:color="000000"/>
              <w:right w:val="single" w:sz="8" w:space="0" w:color="000000"/>
            </w:tcBorders>
            <w:shd w:val="clear" w:color="auto" w:fill="auto"/>
            <w:hideMark/>
          </w:tcPr>
          <w:p w14:paraId="29830FEA" w14:textId="2CA63FB1" w:rsidR="000B44AB" w:rsidRPr="00EB3BFE" w:rsidRDefault="000B44AB" w:rsidP="000B44AB">
            <w:pPr>
              <w:spacing w:after="0" w:line="240" w:lineRule="auto"/>
              <w:jc w:val="both"/>
              <w:rPr>
                <w:rFonts w:ascii="Times New Roman" w:eastAsia="Times New Roman" w:hAnsi="Times New Roman" w:cs="Times New Roman"/>
                <w:sz w:val="20"/>
                <w:szCs w:val="20"/>
                <w:lang w:val="en-US"/>
              </w:rPr>
            </w:pPr>
            <w:r w:rsidRPr="00EB3BFE">
              <w:rPr>
                <w:rFonts w:ascii="Times New Roman" w:hAnsi="Times New Roman" w:cs="Times New Roman"/>
                <w:sz w:val="20"/>
                <w:szCs w:val="20"/>
              </w:rPr>
              <w:t>Prepayments, accrued income and other assets</w:t>
            </w:r>
          </w:p>
        </w:tc>
        <w:tc>
          <w:tcPr>
            <w:tcW w:w="2127" w:type="dxa"/>
            <w:tcBorders>
              <w:top w:val="nil"/>
              <w:left w:val="nil"/>
              <w:bottom w:val="single" w:sz="8" w:space="0" w:color="000000"/>
              <w:right w:val="single" w:sz="8" w:space="0" w:color="000000"/>
            </w:tcBorders>
            <w:shd w:val="clear" w:color="auto" w:fill="auto"/>
            <w:hideMark/>
          </w:tcPr>
          <w:p w14:paraId="24065455" w14:textId="181ED194" w:rsidR="000B44AB" w:rsidRPr="000B44AB" w:rsidRDefault="007923B5" w:rsidP="000B44AB">
            <w:pPr>
              <w:spacing w:after="0" w:line="240" w:lineRule="auto"/>
              <w:jc w:val="right"/>
              <w:rPr>
                <w:rFonts w:ascii="Times New Roman" w:eastAsia="Times New Roman" w:hAnsi="Times New Roman" w:cs="Times New Roman"/>
                <w:sz w:val="20"/>
                <w:szCs w:val="20"/>
                <w:lang w:val="en-US"/>
              </w:rPr>
            </w:pPr>
            <w:r w:rsidRPr="007923B5">
              <w:rPr>
                <w:rFonts w:ascii="Times New Roman" w:hAnsi="Times New Roman" w:cs="Times New Roman"/>
                <w:sz w:val="20"/>
                <w:szCs w:val="20"/>
              </w:rPr>
              <w:t>31,412</w:t>
            </w:r>
          </w:p>
        </w:tc>
        <w:tc>
          <w:tcPr>
            <w:tcW w:w="1950" w:type="dxa"/>
            <w:tcBorders>
              <w:top w:val="nil"/>
              <w:left w:val="nil"/>
              <w:bottom w:val="single" w:sz="8" w:space="0" w:color="000000"/>
              <w:right w:val="single" w:sz="8" w:space="0" w:color="auto"/>
            </w:tcBorders>
            <w:shd w:val="clear" w:color="000000" w:fill="E0E0E0"/>
            <w:hideMark/>
          </w:tcPr>
          <w:p w14:paraId="21DE0FEE" w14:textId="390443D2" w:rsidR="000B44AB" w:rsidRPr="000B44AB" w:rsidRDefault="007923B5" w:rsidP="000B44AB">
            <w:pPr>
              <w:spacing w:after="0" w:line="240" w:lineRule="auto"/>
              <w:jc w:val="right"/>
              <w:rPr>
                <w:rFonts w:ascii="Times New Roman" w:eastAsia="Times New Roman" w:hAnsi="Times New Roman" w:cs="Times New Roman"/>
                <w:sz w:val="20"/>
                <w:szCs w:val="20"/>
                <w:lang w:val="en-US"/>
              </w:rPr>
            </w:pPr>
            <w:r w:rsidRPr="007923B5">
              <w:rPr>
                <w:rFonts w:ascii="Times New Roman" w:hAnsi="Times New Roman" w:cs="Times New Roman"/>
                <w:sz w:val="20"/>
                <w:szCs w:val="20"/>
              </w:rPr>
              <w:t>31,412</w:t>
            </w:r>
          </w:p>
        </w:tc>
      </w:tr>
      <w:tr w:rsidR="000B44AB" w:rsidRPr="00EB3BFE" w14:paraId="7B242ED1" w14:textId="77777777" w:rsidTr="0048665A">
        <w:trPr>
          <w:trHeight w:val="345"/>
        </w:trPr>
        <w:tc>
          <w:tcPr>
            <w:tcW w:w="5093" w:type="dxa"/>
            <w:tcBorders>
              <w:top w:val="nil"/>
              <w:left w:val="single" w:sz="8" w:space="0" w:color="auto"/>
              <w:bottom w:val="single" w:sz="8" w:space="0" w:color="000000"/>
              <w:right w:val="single" w:sz="8" w:space="0" w:color="000000"/>
            </w:tcBorders>
            <w:shd w:val="clear" w:color="auto" w:fill="auto"/>
            <w:hideMark/>
          </w:tcPr>
          <w:p w14:paraId="669DCF16" w14:textId="667790B0" w:rsidR="000B44AB" w:rsidRPr="00EB3BFE" w:rsidRDefault="000B44AB" w:rsidP="000B44AB">
            <w:pPr>
              <w:spacing w:after="0" w:line="240" w:lineRule="auto"/>
              <w:jc w:val="both"/>
              <w:rPr>
                <w:rFonts w:ascii="Times New Roman" w:eastAsia="Times New Roman" w:hAnsi="Times New Roman" w:cs="Times New Roman"/>
                <w:sz w:val="20"/>
                <w:szCs w:val="20"/>
                <w:lang w:val="en-US"/>
              </w:rPr>
            </w:pPr>
            <w:r w:rsidRPr="00EB3BFE">
              <w:rPr>
                <w:rFonts w:ascii="Times New Roman" w:hAnsi="Times New Roman" w:cs="Times New Roman"/>
                <w:sz w:val="20"/>
                <w:szCs w:val="20"/>
              </w:rPr>
              <w:t>Investments in associates and joint ventures</w:t>
            </w:r>
          </w:p>
        </w:tc>
        <w:tc>
          <w:tcPr>
            <w:tcW w:w="2127" w:type="dxa"/>
            <w:tcBorders>
              <w:top w:val="nil"/>
              <w:left w:val="nil"/>
              <w:bottom w:val="single" w:sz="8" w:space="0" w:color="000000"/>
              <w:right w:val="single" w:sz="8" w:space="0" w:color="000000"/>
            </w:tcBorders>
            <w:shd w:val="clear" w:color="auto" w:fill="auto"/>
            <w:hideMark/>
          </w:tcPr>
          <w:p w14:paraId="4F1E63FF" w14:textId="1FF6FEF1" w:rsidR="000B44AB" w:rsidRPr="000B44AB" w:rsidRDefault="007923B5" w:rsidP="000B44AB">
            <w:pPr>
              <w:spacing w:after="0" w:line="240" w:lineRule="auto"/>
              <w:ind w:firstLineChars="200" w:firstLine="400"/>
              <w:jc w:val="right"/>
              <w:rPr>
                <w:rFonts w:ascii="Times New Roman" w:eastAsia="Times New Roman" w:hAnsi="Times New Roman" w:cs="Times New Roman"/>
                <w:sz w:val="20"/>
                <w:szCs w:val="20"/>
                <w:lang w:val="en-US"/>
              </w:rPr>
            </w:pPr>
            <w:r>
              <w:rPr>
                <w:rFonts w:ascii="Times New Roman" w:hAnsi="Times New Roman" w:cs="Times New Roman"/>
                <w:sz w:val="20"/>
                <w:szCs w:val="20"/>
              </w:rPr>
              <w:t>30</w:t>
            </w:r>
            <w:r w:rsidR="000B44AB" w:rsidRPr="000B44AB">
              <w:rPr>
                <w:rFonts w:ascii="Times New Roman" w:hAnsi="Times New Roman" w:cs="Times New Roman"/>
                <w:sz w:val="20"/>
                <w:szCs w:val="20"/>
              </w:rPr>
              <w:t xml:space="preserve">   </w:t>
            </w:r>
          </w:p>
        </w:tc>
        <w:tc>
          <w:tcPr>
            <w:tcW w:w="1950" w:type="dxa"/>
            <w:tcBorders>
              <w:top w:val="nil"/>
              <w:left w:val="nil"/>
              <w:bottom w:val="single" w:sz="8" w:space="0" w:color="000000"/>
              <w:right w:val="single" w:sz="8" w:space="0" w:color="auto"/>
            </w:tcBorders>
            <w:shd w:val="clear" w:color="000000" w:fill="E0E0E0"/>
            <w:hideMark/>
          </w:tcPr>
          <w:p w14:paraId="5BEF01C8" w14:textId="7587FD29" w:rsidR="000B44AB" w:rsidRPr="000B44AB" w:rsidRDefault="000B44AB" w:rsidP="000B44AB">
            <w:pPr>
              <w:spacing w:after="0" w:line="240" w:lineRule="auto"/>
              <w:jc w:val="right"/>
              <w:rPr>
                <w:rFonts w:ascii="Times New Roman" w:eastAsia="Times New Roman" w:hAnsi="Times New Roman" w:cs="Times New Roman"/>
                <w:sz w:val="20"/>
                <w:szCs w:val="20"/>
                <w:lang w:val="en-US"/>
              </w:rPr>
            </w:pPr>
            <w:r w:rsidRPr="000B44AB">
              <w:rPr>
                <w:rFonts w:ascii="Times New Roman" w:hAnsi="Times New Roman" w:cs="Times New Roman"/>
                <w:sz w:val="20"/>
                <w:szCs w:val="20"/>
              </w:rPr>
              <w:t xml:space="preserve"> </w:t>
            </w:r>
            <w:r w:rsidR="007923B5">
              <w:rPr>
                <w:rFonts w:ascii="Times New Roman" w:hAnsi="Times New Roman" w:cs="Times New Roman"/>
                <w:sz w:val="20"/>
                <w:szCs w:val="20"/>
              </w:rPr>
              <w:t>30</w:t>
            </w:r>
            <w:r w:rsidRPr="000B44AB">
              <w:rPr>
                <w:rFonts w:ascii="Times New Roman" w:hAnsi="Times New Roman" w:cs="Times New Roman"/>
                <w:sz w:val="20"/>
                <w:szCs w:val="20"/>
              </w:rPr>
              <w:t xml:space="preserve">   </w:t>
            </w:r>
          </w:p>
        </w:tc>
      </w:tr>
      <w:tr w:rsidR="000B44AB" w:rsidRPr="00EB3BFE" w14:paraId="01FA05F5" w14:textId="77777777" w:rsidTr="0048665A">
        <w:trPr>
          <w:trHeight w:val="345"/>
        </w:trPr>
        <w:tc>
          <w:tcPr>
            <w:tcW w:w="5093" w:type="dxa"/>
            <w:tcBorders>
              <w:top w:val="nil"/>
              <w:left w:val="single" w:sz="8" w:space="0" w:color="auto"/>
              <w:bottom w:val="single" w:sz="8" w:space="0" w:color="000000"/>
              <w:right w:val="single" w:sz="8" w:space="0" w:color="000000"/>
            </w:tcBorders>
            <w:shd w:val="clear" w:color="auto" w:fill="auto"/>
            <w:hideMark/>
          </w:tcPr>
          <w:p w14:paraId="36250DF9" w14:textId="355899D0" w:rsidR="000B44AB" w:rsidRPr="00EB3BFE" w:rsidRDefault="000B44AB" w:rsidP="000B44AB">
            <w:pPr>
              <w:spacing w:after="0" w:line="240" w:lineRule="auto"/>
              <w:jc w:val="both"/>
              <w:rPr>
                <w:rFonts w:ascii="Times New Roman" w:eastAsia="Times New Roman" w:hAnsi="Times New Roman" w:cs="Times New Roman"/>
                <w:sz w:val="20"/>
                <w:szCs w:val="20"/>
                <w:lang w:val="en-US"/>
              </w:rPr>
            </w:pPr>
            <w:r w:rsidRPr="00EB3BFE">
              <w:rPr>
                <w:rFonts w:ascii="Times New Roman" w:hAnsi="Times New Roman" w:cs="Times New Roman"/>
                <w:sz w:val="20"/>
                <w:szCs w:val="20"/>
              </w:rPr>
              <w:t>Goodwill and intangible assets</w:t>
            </w:r>
          </w:p>
        </w:tc>
        <w:tc>
          <w:tcPr>
            <w:tcW w:w="2127" w:type="dxa"/>
            <w:tcBorders>
              <w:top w:val="nil"/>
              <w:left w:val="nil"/>
              <w:bottom w:val="single" w:sz="8" w:space="0" w:color="000000"/>
              <w:right w:val="single" w:sz="8" w:space="0" w:color="000000"/>
            </w:tcBorders>
            <w:shd w:val="clear" w:color="auto" w:fill="auto"/>
            <w:hideMark/>
          </w:tcPr>
          <w:p w14:paraId="4695E1A6" w14:textId="657CD4E4" w:rsidR="000B44AB" w:rsidRPr="000B44AB" w:rsidRDefault="007923B5" w:rsidP="000B44AB">
            <w:pPr>
              <w:spacing w:after="0" w:line="240" w:lineRule="auto"/>
              <w:jc w:val="right"/>
              <w:rPr>
                <w:rFonts w:ascii="Times New Roman" w:eastAsia="Times New Roman" w:hAnsi="Times New Roman" w:cs="Times New Roman"/>
                <w:sz w:val="20"/>
                <w:szCs w:val="20"/>
                <w:lang w:val="en-US"/>
              </w:rPr>
            </w:pPr>
            <w:r w:rsidRPr="007923B5">
              <w:rPr>
                <w:rFonts w:ascii="Times New Roman" w:hAnsi="Times New Roman" w:cs="Times New Roman"/>
                <w:sz w:val="20"/>
                <w:szCs w:val="20"/>
              </w:rPr>
              <w:t>4,845</w:t>
            </w:r>
          </w:p>
        </w:tc>
        <w:tc>
          <w:tcPr>
            <w:tcW w:w="1950" w:type="dxa"/>
            <w:tcBorders>
              <w:top w:val="nil"/>
              <w:left w:val="nil"/>
              <w:bottom w:val="single" w:sz="8" w:space="0" w:color="000000"/>
              <w:right w:val="single" w:sz="8" w:space="0" w:color="auto"/>
            </w:tcBorders>
            <w:shd w:val="clear" w:color="000000" w:fill="E0E0E0"/>
            <w:hideMark/>
          </w:tcPr>
          <w:p w14:paraId="7EFE6F1F" w14:textId="0619C95D" w:rsidR="000B44AB" w:rsidRPr="000B44AB" w:rsidRDefault="007923B5" w:rsidP="000B44AB">
            <w:pPr>
              <w:spacing w:after="0" w:line="240" w:lineRule="auto"/>
              <w:jc w:val="right"/>
              <w:rPr>
                <w:rFonts w:ascii="Times New Roman" w:eastAsia="Times New Roman" w:hAnsi="Times New Roman" w:cs="Times New Roman"/>
                <w:sz w:val="20"/>
                <w:szCs w:val="20"/>
                <w:lang w:val="en-US"/>
              </w:rPr>
            </w:pPr>
            <w:r w:rsidRPr="007923B5">
              <w:rPr>
                <w:rFonts w:ascii="Times New Roman" w:hAnsi="Times New Roman" w:cs="Times New Roman"/>
                <w:sz w:val="20"/>
                <w:szCs w:val="20"/>
              </w:rPr>
              <w:t>4,845</w:t>
            </w:r>
          </w:p>
        </w:tc>
      </w:tr>
      <w:tr w:rsidR="000B44AB" w:rsidRPr="00EB3BFE" w14:paraId="72991FA3" w14:textId="77777777" w:rsidTr="0048665A">
        <w:trPr>
          <w:trHeight w:val="345"/>
        </w:trPr>
        <w:tc>
          <w:tcPr>
            <w:tcW w:w="5093" w:type="dxa"/>
            <w:tcBorders>
              <w:top w:val="nil"/>
              <w:left w:val="single" w:sz="8" w:space="0" w:color="auto"/>
              <w:bottom w:val="single" w:sz="8" w:space="0" w:color="000000"/>
              <w:right w:val="single" w:sz="8" w:space="0" w:color="000000"/>
            </w:tcBorders>
            <w:shd w:val="clear" w:color="auto" w:fill="auto"/>
            <w:hideMark/>
          </w:tcPr>
          <w:p w14:paraId="6FC327B2" w14:textId="580366EB" w:rsidR="000B44AB" w:rsidRPr="00EB3BFE" w:rsidRDefault="000B44AB" w:rsidP="000B44AB">
            <w:pPr>
              <w:spacing w:after="0" w:line="240" w:lineRule="auto"/>
              <w:jc w:val="both"/>
              <w:rPr>
                <w:rFonts w:ascii="Times New Roman" w:eastAsia="Times New Roman" w:hAnsi="Times New Roman" w:cs="Times New Roman"/>
                <w:sz w:val="20"/>
                <w:szCs w:val="20"/>
                <w:lang w:val="en-US"/>
              </w:rPr>
            </w:pPr>
            <w:r w:rsidRPr="00EB3BFE">
              <w:rPr>
                <w:rFonts w:ascii="Times New Roman" w:hAnsi="Times New Roman" w:cs="Times New Roman"/>
                <w:sz w:val="20"/>
                <w:szCs w:val="20"/>
              </w:rPr>
              <w:t>Property, plant and equipment</w:t>
            </w:r>
          </w:p>
        </w:tc>
        <w:tc>
          <w:tcPr>
            <w:tcW w:w="2127" w:type="dxa"/>
            <w:tcBorders>
              <w:top w:val="nil"/>
              <w:left w:val="nil"/>
              <w:bottom w:val="single" w:sz="8" w:space="0" w:color="000000"/>
              <w:right w:val="single" w:sz="8" w:space="0" w:color="000000"/>
            </w:tcBorders>
            <w:shd w:val="clear" w:color="auto" w:fill="auto"/>
            <w:hideMark/>
          </w:tcPr>
          <w:p w14:paraId="2CD6D180" w14:textId="5B0FDBF6" w:rsidR="000B44AB" w:rsidRPr="000B44AB" w:rsidRDefault="007923B5" w:rsidP="000B44AB">
            <w:pPr>
              <w:spacing w:after="0" w:line="240" w:lineRule="auto"/>
              <w:jc w:val="right"/>
              <w:rPr>
                <w:rFonts w:ascii="Times New Roman" w:eastAsia="Times New Roman" w:hAnsi="Times New Roman" w:cs="Times New Roman"/>
                <w:sz w:val="20"/>
                <w:szCs w:val="20"/>
                <w:lang w:val="en-US"/>
              </w:rPr>
            </w:pPr>
            <w:r w:rsidRPr="007923B5">
              <w:rPr>
                <w:rFonts w:ascii="Times New Roman" w:hAnsi="Times New Roman" w:cs="Times New Roman"/>
                <w:sz w:val="20"/>
                <w:szCs w:val="20"/>
              </w:rPr>
              <w:t>71,893</w:t>
            </w:r>
          </w:p>
        </w:tc>
        <w:tc>
          <w:tcPr>
            <w:tcW w:w="1950" w:type="dxa"/>
            <w:tcBorders>
              <w:top w:val="nil"/>
              <w:left w:val="nil"/>
              <w:bottom w:val="single" w:sz="8" w:space="0" w:color="000000"/>
              <w:right w:val="single" w:sz="8" w:space="0" w:color="auto"/>
            </w:tcBorders>
            <w:shd w:val="clear" w:color="000000" w:fill="E0E0E0"/>
            <w:hideMark/>
          </w:tcPr>
          <w:p w14:paraId="482FF364" w14:textId="049ACB14" w:rsidR="000B44AB" w:rsidRPr="000B44AB" w:rsidRDefault="007923B5" w:rsidP="000B44AB">
            <w:pPr>
              <w:spacing w:after="0" w:line="240" w:lineRule="auto"/>
              <w:jc w:val="right"/>
              <w:rPr>
                <w:rFonts w:ascii="Times New Roman" w:eastAsia="Times New Roman" w:hAnsi="Times New Roman" w:cs="Times New Roman"/>
                <w:sz w:val="20"/>
                <w:szCs w:val="20"/>
                <w:lang w:val="en-US"/>
              </w:rPr>
            </w:pPr>
            <w:r w:rsidRPr="007923B5">
              <w:rPr>
                <w:rFonts w:ascii="Times New Roman" w:hAnsi="Times New Roman" w:cs="Times New Roman"/>
                <w:sz w:val="20"/>
                <w:szCs w:val="20"/>
              </w:rPr>
              <w:t>71,893</w:t>
            </w:r>
          </w:p>
        </w:tc>
      </w:tr>
      <w:tr w:rsidR="000B44AB" w:rsidRPr="00EB3BFE" w14:paraId="5E43D1A0" w14:textId="77777777" w:rsidTr="0048665A">
        <w:trPr>
          <w:trHeight w:val="345"/>
        </w:trPr>
        <w:tc>
          <w:tcPr>
            <w:tcW w:w="5093" w:type="dxa"/>
            <w:tcBorders>
              <w:top w:val="nil"/>
              <w:left w:val="single" w:sz="8" w:space="0" w:color="auto"/>
              <w:bottom w:val="single" w:sz="8" w:space="0" w:color="000000"/>
              <w:right w:val="single" w:sz="8" w:space="0" w:color="000000"/>
            </w:tcBorders>
            <w:shd w:val="clear" w:color="auto" w:fill="auto"/>
          </w:tcPr>
          <w:p w14:paraId="1F7AB76A" w14:textId="1233F4A9" w:rsidR="000B44AB" w:rsidRPr="002D27C7" w:rsidRDefault="000B44AB" w:rsidP="000B44AB">
            <w:pPr>
              <w:spacing w:after="0" w:line="240" w:lineRule="auto"/>
              <w:jc w:val="both"/>
              <w:rPr>
                <w:rFonts w:ascii="Times New Roman" w:hAnsi="Times New Roman" w:cs="Times New Roman"/>
                <w:sz w:val="20"/>
                <w:szCs w:val="20"/>
              </w:rPr>
            </w:pPr>
            <w:r w:rsidRPr="002D27C7">
              <w:rPr>
                <w:rFonts w:ascii="Times New Roman" w:hAnsi="Times New Roman" w:cs="Times New Roman"/>
                <w:sz w:val="20"/>
                <w:szCs w:val="20"/>
              </w:rPr>
              <w:t>Central government securities-bonds</w:t>
            </w:r>
          </w:p>
        </w:tc>
        <w:tc>
          <w:tcPr>
            <w:tcW w:w="2127" w:type="dxa"/>
            <w:tcBorders>
              <w:top w:val="nil"/>
              <w:left w:val="nil"/>
              <w:bottom w:val="single" w:sz="8" w:space="0" w:color="000000"/>
              <w:right w:val="single" w:sz="8" w:space="0" w:color="000000"/>
            </w:tcBorders>
            <w:shd w:val="clear" w:color="auto" w:fill="auto"/>
          </w:tcPr>
          <w:p w14:paraId="41DB15DB" w14:textId="25F431DE" w:rsidR="000B44AB" w:rsidRPr="000B44AB" w:rsidRDefault="007923B5" w:rsidP="000B44AB">
            <w:pPr>
              <w:spacing w:after="0" w:line="240" w:lineRule="auto"/>
              <w:jc w:val="right"/>
              <w:rPr>
                <w:rFonts w:ascii="Times New Roman" w:hAnsi="Times New Roman" w:cs="Times New Roman"/>
                <w:sz w:val="20"/>
                <w:szCs w:val="20"/>
              </w:rPr>
            </w:pPr>
            <w:r w:rsidRPr="007923B5">
              <w:rPr>
                <w:rFonts w:ascii="Times New Roman" w:hAnsi="Times New Roman" w:cs="Times New Roman"/>
                <w:sz w:val="20"/>
                <w:szCs w:val="20"/>
              </w:rPr>
              <w:t>146,856</w:t>
            </w:r>
          </w:p>
        </w:tc>
        <w:tc>
          <w:tcPr>
            <w:tcW w:w="1950" w:type="dxa"/>
            <w:tcBorders>
              <w:top w:val="nil"/>
              <w:left w:val="nil"/>
              <w:bottom w:val="single" w:sz="8" w:space="0" w:color="000000"/>
              <w:right w:val="single" w:sz="8" w:space="0" w:color="auto"/>
            </w:tcBorders>
            <w:shd w:val="clear" w:color="000000" w:fill="E0E0E0"/>
          </w:tcPr>
          <w:p w14:paraId="0CE23CD1" w14:textId="6C8C70A2" w:rsidR="000B44AB" w:rsidRPr="000B44AB" w:rsidRDefault="007923B5" w:rsidP="000B44AB">
            <w:pPr>
              <w:spacing w:after="0" w:line="240" w:lineRule="auto"/>
              <w:jc w:val="right"/>
              <w:rPr>
                <w:rFonts w:ascii="Times New Roman" w:hAnsi="Times New Roman" w:cs="Times New Roman"/>
                <w:sz w:val="20"/>
                <w:szCs w:val="20"/>
              </w:rPr>
            </w:pPr>
            <w:r w:rsidRPr="007923B5">
              <w:rPr>
                <w:rFonts w:ascii="Times New Roman" w:hAnsi="Times New Roman" w:cs="Times New Roman"/>
                <w:sz w:val="20"/>
                <w:szCs w:val="20"/>
              </w:rPr>
              <w:t>146,856</w:t>
            </w:r>
          </w:p>
        </w:tc>
      </w:tr>
      <w:tr w:rsidR="000B44AB" w:rsidRPr="00EB3BFE" w14:paraId="55F678BE" w14:textId="77777777" w:rsidTr="0048665A">
        <w:trPr>
          <w:trHeight w:val="345"/>
        </w:trPr>
        <w:tc>
          <w:tcPr>
            <w:tcW w:w="5093" w:type="dxa"/>
            <w:tcBorders>
              <w:top w:val="nil"/>
              <w:left w:val="single" w:sz="8" w:space="0" w:color="auto"/>
              <w:bottom w:val="single" w:sz="8" w:space="0" w:color="000000"/>
              <w:right w:val="single" w:sz="8" w:space="0" w:color="000000"/>
            </w:tcBorders>
            <w:shd w:val="clear" w:color="auto" w:fill="auto"/>
            <w:hideMark/>
          </w:tcPr>
          <w:p w14:paraId="775FA806" w14:textId="6DDC1342" w:rsidR="000B44AB" w:rsidRPr="00EB3BFE" w:rsidRDefault="000B44AB" w:rsidP="000B44AB">
            <w:pPr>
              <w:spacing w:after="0" w:line="240" w:lineRule="auto"/>
              <w:jc w:val="both"/>
              <w:rPr>
                <w:rFonts w:ascii="Times New Roman" w:eastAsia="Times New Roman" w:hAnsi="Times New Roman" w:cs="Times New Roman"/>
                <w:b/>
                <w:bCs/>
                <w:sz w:val="20"/>
                <w:szCs w:val="20"/>
                <w:lang w:val="en-US"/>
              </w:rPr>
            </w:pPr>
            <w:r w:rsidRPr="00EB3BFE">
              <w:rPr>
                <w:rFonts w:ascii="Times New Roman" w:hAnsi="Times New Roman" w:cs="Times New Roman"/>
                <w:b/>
                <w:bCs/>
                <w:sz w:val="20"/>
                <w:szCs w:val="20"/>
              </w:rPr>
              <w:t>Total assets</w:t>
            </w:r>
          </w:p>
        </w:tc>
        <w:tc>
          <w:tcPr>
            <w:tcW w:w="2127" w:type="dxa"/>
            <w:tcBorders>
              <w:top w:val="nil"/>
              <w:left w:val="nil"/>
              <w:bottom w:val="single" w:sz="8" w:space="0" w:color="000000"/>
              <w:right w:val="single" w:sz="8" w:space="0" w:color="000000"/>
            </w:tcBorders>
            <w:shd w:val="clear" w:color="auto" w:fill="auto"/>
            <w:hideMark/>
          </w:tcPr>
          <w:p w14:paraId="2BBDD91B" w14:textId="436BAC7D" w:rsidR="000B44AB" w:rsidRPr="000B44AB" w:rsidRDefault="007923B5" w:rsidP="000B44AB">
            <w:pPr>
              <w:spacing w:after="0" w:line="240" w:lineRule="auto"/>
              <w:jc w:val="right"/>
              <w:rPr>
                <w:rFonts w:ascii="Times New Roman" w:eastAsia="Times New Roman" w:hAnsi="Times New Roman" w:cs="Times New Roman"/>
                <w:b/>
                <w:bCs/>
                <w:sz w:val="20"/>
                <w:szCs w:val="20"/>
                <w:lang w:val="en-US"/>
              </w:rPr>
            </w:pPr>
            <w:r w:rsidRPr="007923B5">
              <w:rPr>
                <w:rFonts w:ascii="Times New Roman" w:hAnsi="Times New Roman" w:cs="Times New Roman"/>
                <w:b/>
                <w:bCs/>
                <w:sz w:val="20"/>
                <w:szCs w:val="20"/>
              </w:rPr>
              <w:t>4,670,972</w:t>
            </w:r>
          </w:p>
        </w:tc>
        <w:tc>
          <w:tcPr>
            <w:tcW w:w="1950" w:type="dxa"/>
            <w:tcBorders>
              <w:top w:val="nil"/>
              <w:left w:val="nil"/>
              <w:bottom w:val="single" w:sz="8" w:space="0" w:color="000000"/>
              <w:right w:val="single" w:sz="8" w:space="0" w:color="auto"/>
            </w:tcBorders>
            <w:shd w:val="clear" w:color="000000" w:fill="E0E0E0"/>
            <w:hideMark/>
          </w:tcPr>
          <w:p w14:paraId="2D3E9C14" w14:textId="24C859CE" w:rsidR="000B44AB" w:rsidRPr="000B44AB" w:rsidRDefault="007923B5" w:rsidP="000B44AB">
            <w:pPr>
              <w:spacing w:after="0" w:line="240" w:lineRule="auto"/>
              <w:jc w:val="right"/>
              <w:rPr>
                <w:rFonts w:ascii="Times New Roman" w:eastAsia="Times New Roman" w:hAnsi="Times New Roman" w:cs="Times New Roman"/>
                <w:b/>
                <w:bCs/>
                <w:sz w:val="20"/>
                <w:szCs w:val="20"/>
                <w:lang w:val="en-US"/>
              </w:rPr>
            </w:pPr>
            <w:r w:rsidRPr="007923B5">
              <w:rPr>
                <w:rFonts w:ascii="Times New Roman" w:hAnsi="Times New Roman" w:cs="Times New Roman"/>
                <w:b/>
                <w:bCs/>
                <w:sz w:val="20"/>
                <w:szCs w:val="20"/>
              </w:rPr>
              <w:t>4,670,972</w:t>
            </w:r>
          </w:p>
        </w:tc>
      </w:tr>
      <w:tr w:rsidR="004A096A" w:rsidRPr="00EB3BFE" w14:paraId="176ABE1E" w14:textId="77777777" w:rsidTr="00C07380">
        <w:trPr>
          <w:trHeight w:val="345"/>
        </w:trPr>
        <w:tc>
          <w:tcPr>
            <w:tcW w:w="9170" w:type="dxa"/>
            <w:gridSpan w:val="3"/>
            <w:tcBorders>
              <w:top w:val="single" w:sz="8" w:space="0" w:color="000000"/>
              <w:left w:val="single" w:sz="8" w:space="0" w:color="auto"/>
              <w:bottom w:val="single" w:sz="8" w:space="0" w:color="000000"/>
              <w:right w:val="single" w:sz="8" w:space="0" w:color="000000"/>
            </w:tcBorders>
            <w:shd w:val="clear" w:color="000000" w:fill="92D050"/>
            <w:hideMark/>
          </w:tcPr>
          <w:p w14:paraId="6B82E3D1" w14:textId="1F930B34" w:rsidR="004A096A" w:rsidRPr="00EB3BFE" w:rsidRDefault="004A096A" w:rsidP="004A096A">
            <w:pPr>
              <w:spacing w:after="0" w:line="240" w:lineRule="auto"/>
              <w:jc w:val="both"/>
              <w:rPr>
                <w:rFonts w:ascii="Times New Roman" w:eastAsia="Times New Roman" w:hAnsi="Times New Roman" w:cs="Times New Roman"/>
                <w:b/>
                <w:bCs/>
                <w:sz w:val="20"/>
                <w:szCs w:val="20"/>
                <w:lang w:val="en-US"/>
              </w:rPr>
            </w:pPr>
            <w:r w:rsidRPr="00EB3BFE">
              <w:rPr>
                <w:rFonts w:ascii="Times New Roman" w:hAnsi="Times New Roman" w:cs="Times New Roman"/>
                <w:b/>
                <w:bCs/>
                <w:sz w:val="20"/>
                <w:szCs w:val="20"/>
              </w:rPr>
              <w:t>Liabilities</w:t>
            </w:r>
          </w:p>
        </w:tc>
      </w:tr>
      <w:tr w:rsidR="00B107F1" w:rsidRPr="00EB3BFE" w14:paraId="33B8DE37" w14:textId="77777777" w:rsidTr="0048665A">
        <w:trPr>
          <w:trHeight w:val="345"/>
        </w:trPr>
        <w:tc>
          <w:tcPr>
            <w:tcW w:w="5093" w:type="dxa"/>
            <w:tcBorders>
              <w:top w:val="nil"/>
              <w:left w:val="single" w:sz="8" w:space="0" w:color="auto"/>
              <w:bottom w:val="single" w:sz="8" w:space="0" w:color="000000"/>
              <w:right w:val="single" w:sz="8" w:space="0" w:color="000000"/>
            </w:tcBorders>
            <w:shd w:val="clear" w:color="auto" w:fill="auto"/>
            <w:hideMark/>
          </w:tcPr>
          <w:p w14:paraId="750C3BAB" w14:textId="0A51F6A5" w:rsidR="00B107F1" w:rsidRPr="00EB3BFE" w:rsidRDefault="00B107F1" w:rsidP="00B107F1">
            <w:pPr>
              <w:spacing w:after="0" w:line="240" w:lineRule="auto"/>
              <w:jc w:val="both"/>
              <w:rPr>
                <w:rFonts w:ascii="Times New Roman" w:eastAsia="Times New Roman" w:hAnsi="Times New Roman" w:cs="Times New Roman"/>
                <w:sz w:val="20"/>
                <w:szCs w:val="20"/>
                <w:lang w:val="en-US"/>
              </w:rPr>
            </w:pPr>
            <w:r w:rsidRPr="00EB3BFE">
              <w:rPr>
                <w:rFonts w:ascii="Times New Roman" w:hAnsi="Times New Roman" w:cs="Times New Roman"/>
                <w:sz w:val="20"/>
                <w:szCs w:val="20"/>
              </w:rPr>
              <w:t>Deposits from banks</w:t>
            </w:r>
          </w:p>
        </w:tc>
        <w:tc>
          <w:tcPr>
            <w:tcW w:w="2127" w:type="dxa"/>
            <w:tcBorders>
              <w:top w:val="nil"/>
              <w:left w:val="nil"/>
              <w:bottom w:val="single" w:sz="8" w:space="0" w:color="000000"/>
              <w:right w:val="single" w:sz="8" w:space="0" w:color="000000"/>
            </w:tcBorders>
            <w:shd w:val="clear" w:color="auto" w:fill="auto"/>
            <w:hideMark/>
          </w:tcPr>
          <w:p w14:paraId="715A06DB" w14:textId="15D80059" w:rsidR="00B107F1" w:rsidRPr="00B107F1" w:rsidRDefault="007923B5" w:rsidP="00B107F1">
            <w:pPr>
              <w:spacing w:after="0" w:line="240" w:lineRule="auto"/>
              <w:jc w:val="right"/>
              <w:rPr>
                <w:rFonts w:ascii="Times New Roman" w:eastAsia="Times New Roman" w:hAnsi="Times New Roman" w:cs="Times New Roman"/>
                <w:sz w:val="20"/>
                <w:szCs w:val="20"/>
                <w:lang w:val="en-US"/>
              </w:rPr>
            </w:pPr>
            <w:r w:rsidRPr="007923B5">
              <w:rPr>
                <w:rFonts w:ascii="Times New Roman" w:hAnsi="Times New Roman" w:cs="Times New Roman"/>
                <w:sz w:val="20"/>
                <w:szCs w:val="20"/>
              </w:rPr>
              <w:t>57,208</w:t>
            </w:r>
          </w:p>
        </w:tc>
        <w:tc>
          <w:tcPr>
            <w:tcW w:w="1950" w:type="dxa"/>
            <w:tcBorders>
              <w:top w:val="nil"/>
              <w:left w:val="nil"/>
              <w:bottom w:val="single" w:sz="8" w:space="0" w:color="000000"/>
              <w:right w:val="single" w:sz="8" w:space="0" w:color="auto"/>
            </w:tcBorders>
            <w:shd w:val="clear" w:color="000000" w:fill="E0E0E0"/>
            <w:hideMark/>
          </w:tcPr>
          <w:p w14:paraId="25C5E397" w14:textId="6CFA14CB" w:rsidR="00B107F1" w:rsidRPr="00B107F1" w:rsidRDefault="007923B5" w:rsidP="00B107F1">
            <w:pPr>
              <w:spacing w:after="0" w:line="240" w:lineRule="auto"/>
              <w:jc w:val="right"/>
              <w:rPr>
                <w:rFonts w:ascii="Times New Roman" w:eastAsia="Times New Roman" w:hAnsi="Times New Roman" w:cs="Times New Roman"/>
                <w:sz w:val="20"/>
                <w:szCs w:val="20"/>
                <w:lang w:val="en-US"/>
              </w:rPr>
            </w:pPr>
            <w:r w:rsidRPr="007923B5">
              <w:rPr>
                <w:rFonts w:ascii="Times New Roman" w:hAnsi="Times New Roman" w:cs="Times New Roman"/>
                <w:sz w:val="20"/>
                <w:szCs w:val="20"/>
              </w:rPr>
              <w:t>57,208</w:t>
            </w:r>
          </w:p>
        </w:tc>
      </w:tr>
      <w:tr w:rsidR="00B107F1" w:rsidRPr="00EB3BFE" w14:paraId="47758314" w14:textId="77777777" w:rsidTr="0048665A">
        <w:trPr>
          <w:trHeight w:val="675"/>
        </w:trPr>
        <w:tc>
          <w:tcPr>
            <w:tcW w:w="5093" w:type="dxa"/>
            <w:tcBorders>
              <w:top w:val="nil"/>
              <w:left w:val="single" w:sz="8" w:space="0" w:color="auto"/>
              <w:bottom w:val="single" w:sz="8" w:space="0" w:color="000000"/>
              <w:right w:val="single" w:sz="8" w:space="0" w:color="000000"/>
            </w:tcBorders>
            <w:shd w:val="clear" w:color="auto" w:fill="auto"/>
            <w:hideMark/>
          </w:tcPr>
          <w:p w14:paraId="5631ACF6" w14:textId="309E1294" w:rsidR="00B107F1" w:rsidRPr="00EB3BFE" w:rsidRDefault="00B107F1" w:rsidP="00B107F1">
            <w:pPr>
              <w:spacing w:after="0" w:line="240" w:lineRule="auto"/>
              <w:jc w:val="both"/>
              <w:rPr>
                <w:rFonts w:ascii="Times New Roman" w:eastAsia="Times New Roman" w:hAnsi="Times New Roman" w:cs="Times New Roman"/>
                <w:sz w:val="20"/>
                <w:szCs w:val="20"/>
                <w:lang w:val="en-US"/>
              </w:rPr>
            </w:pPr>
            <w:r w:rsidRPr="00EB3BFE">
              <w:rPr>
                <w:rFonts w:ascii="Times New Roman" w:hAnsi="Times New Roman" w:cs="Times New Roman"/>
                <w:sz w:val="20"/>
                <w:szCs w:val="20"/>
              </w:rPr>
              <w:t>Items in the course of collection due to other banks</w:t>
            </w:r>
          </w:p>
        </w:tc>
        <w:tc>
          <w:tcPr>
            <w:tcW w:w="2127" w:type="dxa"/>
            <w:tcBorders>
              <w:top w:val="nil"/>
              <w:left w:val="nil"/>
              <w:bottom w:val="single" w:sz="8" w:space="0" w:color="000000"/>
              <w:right w:val="single" w:sz="8" w:space="0" w:color="000000"/>
            </w:tcBorders>
            <w:shd w:val="clear" w:color="auto" w:fill="auto"/>
            <w:hideMark/>
          </w:tcPr>
          <w:p w14:paraId="4AC5300F" w14:textId="21E115F2" w:rsidR="00B107F1" w:rsidRPr="00B107F1" w:rsidRDefault="00B107F1" w:rsidP="00B107F1">
            <w:pPr>
              <w:spacing w:after="0" w:line="240" w:lineRule="auto"/>
              <w:jc w:val="right"/>
              <w:rPr>
                <w:rFonts w:ascii="Times New Roman" w:eastAsia="Times New Roman" w:hAnsi="Times New Roman" w:cs="Times New Roman"/>
                <w:sz w:val="20"/>
                <w:szCs w:val="20"/>
                <w:lang w:val="en-US"/>
              </w:rPr>
            </w:pPr>
            <w:r w:rsidRPr="00B107F1">
              <w:rPr>
                <w:rFonts w:ascii="Times New Roman" w:hAnsi="Times New Roman" w:cs="Times New Roman"/>
                <w:sz w:val="20"/>
                <w:szCs w:val="20"/>
              </w:rPr>
              <w:t xml:space="preserve"> -   </w:t>
            </w:r>
          </w:p>
        </w:tc>
        <w:tc>
          <w:tcPr>
            <w:tcW w:w="1950" w:type="dxa"/>
            <w:tcBorders>
              <w:top w:val="nil"/>
              <w:left w:val="nil"/>
              <w:bottom w:val="single" w:sz="8" w:space="0" w:color="000000"/>
              <w:right w:val="single" w:sz="8" w:space="0" w:color="auto"/>
            </w:tcBorders>
            <w:shd w:val="clear" w:color="000000" w:fill="E0E0E0"/>
            <w:hideMark/>
          </w:tcPr>
          <w:p w14:paraId="09D18F5C" w14:textId="323FE0B3" w:rsidR="00B107F1" w:rsidRPr="00B107F1" w:rsidRDefault="00B107F1" w:rsidP="00B107F1">
            <w:pPr>
              <w:spacing w:after="0" w:line="240" w:lineRule="auto"/>
              <w:jc w:val="right"/>
              <w:rPr>
                <w:rFonts w:ascii="Times New Roman" w:eastAsia="Times New Roman" w:hAnsi="Times New Roman" w:cs="Times New Roman"/>
                <w:sz w:val="20"/>
                <w:szCs w:val="20"/>
                <w:lang w:val="en-US"/>
              </w:rPr>
            </w:pPr>
            <w:r w:rsidRPr="00B107F1">
              <w:rPr>
                <w:rFonts w:ascii="Times New Roman" w:hAnsi="Times New Roman" w:cs="Times New Roman"/>
                <w:sz w:val="20"/>
                <w:szCs w:val="20"/>
              </w:rPr>
              <w:t>0</w:t>
            </w:r>
          </w:p>
        </w:tc>
      </w:tr>
      <w:tr w:rsidR="00B107F1" w:rsidRPr="00EB3BFE" w14:paraId="57D1A8F0" w14:textId="77777777" w:rsidTr="0048665A">
        <w:trPr>
          <w:trHeight w:val="345"/>
        </w:trPr>
        <w:tc>
          <w:tcPr>
            <w:tcW w:w="5093" w:type="dxa"/>
            <w:tcBorders>
              <w:top w:val="nil"/>
              <w:left w:val="single" w:sz="8" w:space="0" w:color="auto"/>
              <w:bottom w:val="single" w:sz="8" w:space="0" w:color="000000"/>
              <w:right w:val="single" w:sz="8" w:space="0" w:color="000000"/>
            </w:tcBorders>
            <w:shd w:val="clear" w:color="auto" w:fill="auto"/>
            <w:hideMark/>
          </w:tcPr>
          <w:p w14:paraId="02327B20" w14:textId="27A8D2F2" w:rsidR="00B107F1" w:rsidRPr="00EB3BFE" w:rsidRDefault="00B107F1" w:rsidP="00B107F1">
            <w:pPr>
              <w:spacing w:after="0" w:line="240" w:lineRule="auto"/>
              <w:jc w:val="both"/>
              <w:rPr>
                <w:rFonts w:ascii="Times New Roman" w:eastAsia="Times New Roman" w:hAnsi="Times New Roman" w:cs="Times New Roman"/>
                <w:sz w:val="20"/>
                <w:szCs w:val="20"/>
                <w:lang w:val="en-US"/>
              </w:rPr>
            </w:pPr>
            <w:r w:rsidRPr="00EB3BFE">
              <w:rPr>
                <w:rFonts w:ascii="Times New Roman" w:hAnsi="Times New Roman" w:cs="Times New Roman"/>
                <w:sz w:val="20"/>
                <w:szCs w:val="20"/>
              </w:rPr>
              <w:t>Customer accounts</w:t>
            </w:r>
          </w:p>
        </w:tc>
        <w:tc>
          <w:tcPr>
            <w:tcW w:w="2127" w:type="dxa"/>
            <w:tcBorders>
              <w:top w:val="nil"/>
              <w:left w:val="nil"/>
              <w:bottom w:val="single" w:sz="8" w:space="0" w:color="000000"/>
              <w:right w:val="single" w:sz="8" w:space="0" w:color="000000"/>
            </w:tcBorders>
            <w:shd w:val="clear" w:color="auto" w:fill="auto"/>
            <w:hideMark/>
          </w:tcPr>
          <w:p w14:paraId="65AA1A78" w14:textId="259C42C0" w:rsidR="00B107F1" w:rsidRPr="00B107F1" w:rsidRDefault="007923B5" w:rsidP="00B107F1">
            <w:pPr>
              <w:spacing w:after="0" w:line="240" w:lineRule="auto"/>
              <w:jc w:val="right"/>
              <w:rPr>
                <w:rFonts w:ascii="Times New Roman" w:eastAsia="Times New Roman" w:hAnsi="Times New Roman" w:cs="Times New Roman"/>
                <w:sz w:val="20"/>
                <w:szCs w:val="20"/>
                <w:lang w:val="en-US"/>
              </w:rPr>
            </w:pPr>
            <w:r w:rsidRPr="007923B5">
              <w:rPr>
                <w:rFonts w:ascii="Times New Roman" w:hAnsi="Times New Roman" w:cs="Times New Roman"/>
                <w:sz w:val="20"/>
                <w:szCs w:val="20"/>
              </w:rPr>
              <w:t>3,561,536</w:t>
            </w:r>
          </w:p>
        </w:tc>
        <w:tc>
          <w:tcPr>
            <w:tcW w:w="1950" w:type="dxa"/>
            <w:tcBorders>
              <w:top w:val="nil"/>
              <w:left w:val="nil"/>
              <w:bottom w:val="single" w:sz="8" w:space="0" w:color="000000"/>
              <w:right w:val="single" w:sz="8" w:space="0" w:color="auto"/>
            </w:tcBorders>
            <w:shd w:val="clear" w:color="000000" w:fill="E0E0E0"/>
            <w:hideMark/>
          </w:tcPr>
          <w:p w14:paraId="49C64F01" w14:textId="7F36AB94" w:rsidR="00B107F1" w:rsidRPr="00B107F1" w:rsidRDefault="007923B5" w:rsidP="00B107F1">
            <w:pPr>
              <w:spacing w:after="0" w:line="240" w:lineRule="auto"/>
              <w:jc w:val="right"/>
              <w:rPr>
                <w:rFonts w:ascii="Times New Roman" w:eastAsia="Times New Roman" w:hAnsi="Times New Roman" w:cs="Times New Roman"/>
                <w:sz w:val="20"/>
                <w:szCs w:val="20"/>
                <w:lang w:val="en-US"/>
              </w:rPr>
            </w:pPr>
            <w:r w:rsidRPr="007923B5">
              <w:rPr>
                <w:rFonts w:ascii="Times New Roman" w:hAnsi="Times New Roman" w:cs="Times New Roman"/>
                <w:sz w:val="20"/>
                <w:szCs w:val="20"/>
              </w:rPr>
              <w:t>3,561,536</w:t>
            </w:r>
          </w:p>
        </w:tc>
      </w:tr>
      <w:tr w:rsidR="00B107F1" w:rsidRPr="00EB3BFE" w14:paraId="060E469A" w14:textId="77777777" w:rsidTr="0048665A">
        <w:trPr>
          <w:trHeight w:val="345"/>
        </w:trPr>
        <w:tc>
          <w:tcPr>
            <w:tcW w:w="5093" w:type="dxa"/>
            <w:tcBorders>
              <w:top w:val="nil"/>
              <w:left w:val="single" w:sz="8" w:space="0" w:color="auto"/>
              <w:bottom w:val="nil"/>
              <w:right w:val="single" w:sz="8" w:space="0" w:color="000000"/>
            </w:tcBorders>
            <w:shd w:val="clear" w:color="auto" w:fill="auto"/>
            <w:hideMark/>
          </w:tcPr>
          <w:p w14:paraId="214AD548" w14:textId="0275308F" w:rsidR="00B107F1" w:rsidRPr="00EB3BFE" w:rsidRDefault="00B107F1" w:rsidP="00B107F1">
            <w:pPr>
              <w:spacing w:after="0" w:line="240" w:lineRule="auto"/>
              <w:jc w:val="both"/>
              <w:rPr>
                <w:rFonts w:ascii="Times New Roman" w:eastAsia="Times New Roman" w:hAnsi="Times New Roman" w:cs="Times New Roman"/>
                <w:sz w:val="20"/>
                <w:szCs w:val="20"/>
                <w:lang w:val="en-US"/>
              </w:rPr>
            </w:pPr>
            <w:r w:rsidRPr="00EB3BFE">
              <w:rPr>
                <w:rFonts w:ascii="Times New Roman" w:hAnsi="Times New Roman" w:cs="Times New Roman"/>
                <w:sz w:val="20"/>
                <w:szCs w:val="20"/>
              </w:rPr>
              <w:t>Repurchase agreements and other similar secured</w:t>
            </w:r>
          </w:p>
        </w:tc>
        <w:tc>
          <w:tcPr>
            <w:tcW w:w="2127" w:type="dxa"/>
            <w:vMerge w:val="restart"/>
            <w:tcBorders>
              <w:top w:val="nil"/>
              <w:left w:val="single" w:sz="8" w:space="0" w:color="000000"/>
              <w:bottom w:val="single" w:sz="8" w:space="0" w:color="000000"/>
              <w:right w:val="single" w:sz="8" w:space="0" w:color="000000"/>
            </w:tcBorders>
            <w:shd w:val="clear" w:color="auto" w:fill="auto"/>
            <w:hideMark/>
          </w:tcPr>
          <w:p w14:paraId="4EE4F9AE" w14:textId="6A1C8FCC" w:rsidR="00B107F1" w:rsidRPr="00B107F1" w:rsidRDefault="007923B5" w:rsidP="00B107F1">
            <w:pPr>
              <w:spacing w:after="0" w:line="240" w:lineRule="auto"/>
              <w:jc w:val="right"/>
              <w:rPr>
                <w:rFonts w:ascii="Times New Roman" w:eastAsia="Times New Roman" w:hAnsi="Times New Roman" w:cs="Times New Roman"/>
                <w:sz w:val="20"/>
                <w:szCs w:val="20"/>
                <w:lang w:val="en-US"/>
              </w:rPr>
            </w:pPr>
            <w:r w:rsidRPr="007923B5">
              <w:rPr>
                <w:rFonts w:ascii="Times New Roman" w:hAnsi="Times New Roman" w:cs="Times New Roman"/>
                <w:sz w:val="20"/>
                <w:szCs w:val="20"/>
              </w:rPr>
              <w:t>330,668</w:t>
            </w:r>
          </w:p>
        </w:tc>
        <w:tc>
          <w:tcPr>
            <w:tcW w:w="1950" w:type="dxa"/>
            <w:tcBorders>
              <w:top w:val="nil"/>
              <w:left w:val="nil"/>
              <w:bottom w:val="single" w:sz="8" w:space="0" w:color="000000"/>
              <w:right w:val="single" w:sz="8" w:space="0" w:color="auto"/>
            </w:tcBorders>
            <w:shd w:val="clear" w:color="000000" w:fill="E0E0E0"/>
            <w:hideMark/>
          </w:tcPr>
          <w:p w14:paraId="414B6FD6" w14:textId="49E9A9CE" w:rsidR="00B107F1" w:rsidRPr="00B107F1" w:rsidRDefault="007923B5" w:rsidP="00B107F1">
            <w:pPr>
              <w:spacing w:after="0" w:line="240" w:lineRule="auto"/>
              <w:jc w:val="right"/>
              <w:rPr>
                <w:rFonts w:ascii="Times New Roman" w:eastAsia="Times New Roman" w:hAnsi="Times New Roman" w:cs="Times New Roman"/>
                <w:sz w:val="20"/>
                <w:szCs w:val="20"/>
                <w:lang w:val="en-US"/>
              </w:rPr>
            </w:pPr>
            <w:r w:rsidRPr="007923B5">
              <w:rPr>
                <w:rFonts w:ascii="Times New Roman" w:hAnsi="Times New Roman" w:cs="Times New Roman"/>
                <w:sz w:val="20"/>
                <w:szCs w:val="20"/>
              </w:rPr>
              <w:t>330,668</w:t>
            </w:r>
          </w:p>
        </w:tc>
      </w:tr>
      <w:tr w:rsidR="00B107F1" w:rsidRPr="00EB3BFE" w14:paraId="277D5DD4" w14:textId="77777777" w:rsidTr="0048665A">
        <w:trPr>
          <w:trHeight w:val="345"/>
        </w:trPr>
        <w:tc>
          <w:tcPr>
            <w:tcW w:w="5093" w:type="dxa"/>
            <w:tcBorders>
              <w:top w:val="nil"/>
              <w:left w:val="single" w:sz="8" w:space="0" w:color="auto"/>
              <w:bottom w:val="single" w:sz="8" w:space="0" w:color="000000"/>
              <w:right w:val="single" w:sz="8" w:space="0" w:color="000000"/>
            </w:tcBorders>
            <w:shd w:val="clear" w:color="auto" w:fill="auto"/>
            <w:hideMark/>
          </w:tcPr>
          <w:p w14:paraId="6CB73DF6" w14:textId="186F020D" w:rsidR="00B107F1" w:rsidRPr="00EB3BFE" w:rsidRDefault="00B107F1" w:rsidP="00B107F1">
            <w:pPr>
              <w:spacing w:after="0" w:line="240" w:lineRule="auto"/>
              <w:jc w:val="both"/>
              <w:rPr>
                <w:rFonts w:ascii="Times New Roman" w:eastAsia="Times New Roman" w:hAnsi="Times New Roman" w:cs="Times New Roman"/>
                <w:sz w:val="20"/>
                <w:szCs w:val="20"/>
                <w:lang w:val="en-US"/>
              </w:rPr>
            </w:pPr>
            <w:r w:rsidRPr="00EB3BFE">
              <w:rPr>
                <w:rFonts w:ascii="Times New Roman" w:hAnsi="Times New Roman" w:cs="Times New Roman"/>
                <w:sz w:val="20"/>
                <w:szCs w:val="20"/>
              </w:rPr>
              <w:t>borrowing</w:t>
            </w:r>
          </w:p>
        </w:tc>
        <w:tc>
          <w:tcPr>
            <w:tcW w:w="2127" w:type="dxa"/>
            <w:vMerge/>
            <w:tcBorders>
              <w:top w:val="nil"/>
              <w:left w:val="single" w:sz="8" w:space="0" w:color="000000"/>
              <w:bottom w:val="single" w:sz="8" w:space="0" w:color="000000"/>
              <w:right w:val="single" w:sz="8" w:space="0" w:color="000000"/>
            </w:tcBorders>
            <w:hideMark/>
          </w:tcPr>
          <w:p w14:paraId="4CD0F32A" w14:textId="77777777" w:rsidR="00B107F1" w:rsidRPr="00B107F1" w:rsidRDefault="00B107F1" w:rsidP="00B107F1">
            <w:pPr>
              <w:spacing w:after="0" w:line="240" w:lineRule="auto"/>
              <w:jc w:val="right"/>
              <w:rPr>
                <w:rFonts w:ascii="Times New Roman" w:eastAsia="Times New Roman" w:hAnsi="Times New Roman" w:cs="Times New Roman"/>
                <w:sz w:val="20"/>
                <w:szCs w:val="20"/>
                <w:lang w:val="en-US"/>
              </w:rPr>
            </w:pPr>
          </w:p>
        </w:tc>
        <w:tc>
          <w:tcPr>
            <w:tcW w:w="1950" w:type="dxa"/>
            <w:tcBorders>
              <w:top w:val="nil"/>
              <w:left w:val="nil"/>
              <w:bottom w:val="single" w:sz="8" w:space="0" w:color="000000"/>
              <w:right w:val="single" w:sz="8" w:space="0" w:color="auto"/>
            </w:tcBorders>
            <w:shd w:val="clear" w:color="000000" w:fill="E0E0E0"/>
            <w:hideMark/>
          </w:tcPr>
          <w:p w14:paraId="070D6236" w14:textId="23F23D96" w:rsidR="00B107F1" w:rsidRPr="00B107F1" w:rsidRDefault="00B107F1" w:rsidP="00B107F1">
            <w:pPr>
              <w:spacing w:after="0" w:line="240" w:lineRule="auto"/>
              <w:jc w:val="right"/>
              <w:rPr>
                <w:rFonts w:ascii="Times New Roman" w:eastAsia="Times New Roman" w:hAnsi="Times New Roman" w:cs="Times New Roman"/>
                <w:sz w:val="20"/>
                <w:szCs w:val="20"/>
                <w:lang w:val="en-US"/>
              </w:rPr>
            </w:pPr>
            <w:r w:rsidRPr="00B107F1">
              <w:rPr>
                <w:rFonts w:ascii="Times New Roman" w:hAnsi="Times New Roman" w:cs="Times New Roman"/>
                <w:sz w:val="20"/>
                <w:szCs w:val="20"/>
              </w:rPr>
              <w:t>0</w:t>
            </w:r>
          </w:p>
        </w:tc>
      </w:tr>
      <w:tr w:rsidR="00B107F1" w:rsidRPr="00EB3BFE" w14:paraId="3D6EE480" w14:textId="77777777" w:rsidTr="0048665A">
        <w:trPr>
          <w:trHeight w:val="345"/>
        </w:trPr>
        <w:tc>
          <w:tcPr>
            <w:tcW w:w="5093" w:type="dxa"/>
            <w:tcBorders>
              <w:top w:val="nil"/>
              <w:left w:val="single" w:sz="8" w:space="0" w:color="auto"/>
              <w:bottom w:val="single" w:sz="8" w:space="0" w:color="000000"/>
              <w:right w:val="single" w:sz="8" w:space="0" w:color="000000"/>
            </w:tcBorders>
            <w:shd w:val="clear" w:color="auto" w:fill="auto"/>
            <w:hideMark/>
          </w:tcPr>
          <w:p w14:paraId="0F8547F0" w14:textId="20F600AD" w:rsidR="00B107F1" w:rsidRPr="00EB3BFE" w:rsidRDefault="00B107F1" w:rsidP="00B107F1">
            <w:pPr>
              <w:spacing w:after="0" w:line="240" w:lineRule="auto"/>
              <w:jc w:val="both"/>
              <w:rPr>
                <w:rFonts w:ascii="Times New Roman" w:eastAsia="Times New Roman" w:hAnsi="Times New Roman" w:cs="Times New Roman"/>
                <w:sz w:val="20"/>
                <w:szCs w:val="20"/>
                <w:lang w:val="en-US"/>
              </w:rPr>
            </w:pPr>
            <w:r w:rsidRPr="00EB3BFE">
              <w:rPr>
                <w:rFonts w:ascii="Times New Roman" w:hAnsi="Times New Roman" w:cs="Times New Roman"/>
                <w:sz w:val="20"/>
                <w:szCs w:val="20"/>
              </w:rPr>
              <w:t>Trading portfolio liabilities</w:t>
            </w:r>
          </w:p>
        </w:tc>
        <w:tc>
          <w:tcPr>
            <w:tcW w:w="2127" w:type="dxa"/>
            <w:tcBorders>
              <w:top w:val="nil"/>
              <w:left w:val="nil"/>
              <w:bottom w:val="single" w:sz="8" w:space="0" w:color="000000"/>
              <w:right w:val="single" w:sz="8" w:space="0" w:color="000000"/>
            </w:tcBorders>
            <w:shd w:val="clear" w:color="auto" w:fill="auto"/>
            <w:hideMark/>
          </w:tcPr>
          <w:p w14:paraId="07258554" w14:textId="445DA8B2" w:rsidR="00B107F1" w:rsidRPr="00B107F1" w:rsidRDefault="00B107F1" w:rsidP="00B107F1">
            <w:pPr>
              <w:spacing w:after="0" w:line="240" w:lineRule="auto"/>
              <w:jc w:val="right"/>
              <w:rPr>
                <w:rFonts w:ascii="Times New Roman" w:eastAsia="Times New Roman" w:hAnsi="Times New Roman" w:cs="Times New Roman"/>
                <w:sz w:val="20"/>
                <w:szCs w:val="20"/>
                <w:lang w:val="en-US"/>
              </w:rPr>
            </w:pPr>
            <w:r w:rsidRPr="00B107F1">
              <w:rPr>
                <w:rFonts w:ascii="Times New Roman" w:hAnsi="Times New Roman" w:cs="Times New Roman"/>
                <w:sz w:val="20"/>
                <w:szCs w:val="20"/>
              </w:rPr>
              <w:t xml:space="preserve"> -   </w:t>
            </w:r>
          </w:p>
        </w:tc>
        <w:tc>
          <w:tcPr>
            <w:tcW w:w="1950" w:type="dxa"/>
            <w:tcBorders>
              <w:top w:val="nil"/>
              <w:left w:val="nil"/>
              <w:bottom w:val="single" w:sz="8" w:space="0" w:color="000000"/>
              <w:right w:val="single" w:sz="8" w:space="0" w:color="auto"/>
            </w:tcBorders>
            <w:shd w:val="clear" w:color="000000" w:fill="E0E0E0"/>
            <w:hideMark/>
          </w:tcPr>
          <w:p w14:paraId="45789167" w14:textId="7FD70935" w:rsidR="00B107F1" w:rsidRPr="00B107F1" w:rsidRDefault="00B107F1" w:rsidP="00B107F1">
            <w:pPr>
              <w:spacing w:after="0" w:line="240" w:lineRule="auto"/>
              <w:jc w:val="right"/>
              <w:rPr>
                <w:rFonts w:ascii="Times New Roman" w:eastAsia="Times New Roman" w:hAnsi="Times New Roman" w:cs="Times New Roman"/>
                <w:sz w:val="20"/>
                <w:szCs w:val="20"/>
                <w:lang w:val="en-US"/>
              </w:rPr>
            </w:pPr>
            <w:r w:rsidRPr="00B107F1">
              <w:rPr>
                <w:rFonts w:ascii="Times New Roman" w:hAnsi="Times New Roman" w:cs="Times New Roman"/>
                <w:sz w:val="20"/>
                <w:szCs w:val="20"/>
              </w:rPr>
              <w:t>0</w:t>
            </w:r>
          </w:p>
        </w:tc>
      </w:tr>
      <w:tr w:rsidR="00B107F1" w:rsidRPr="00EB3BFE" w14:paraId="63588634" w14:textId="77777777" w:rsidTr="0048665A">
        <w:trPr>
          <w:trHeight w:val="345"/>
        </w:trPr>
        <w:tc>
          <w:tcPr>
            <w:tcW w:w="5093" w:type="dxa"/>
            <w:tcBorders>
              <w:top w:val="nil"/>
              <w:left w:val="single" w:sz="8" w:space="0" w:color="auto"/>
              <w:bottom w:val="single" w:sz="8" w:space="0" w:color="000000"/>
              <w:right w:val="single" w:sz="8" w:space="0" w:color="000000"/>
            </w:tcBorders>
            <w:shd w:val="clear" w:color="auto" w:fill="auto"/>
            <w:hideMark/>
          </w:tcPr>
          <w:p w14:paraId="6240D24C" w14:textId="678E3DE4" w:rsidR="00B107F1" w:rsidRPr="00EB3BFE" w:rsidRDefault="00B107F1" w:rsidP="00B107F1">
            <w:pPr>
              <w:spacing w:after="0" w:line="240" w:lineRule="auto"/>
              <w:jc w:val="both"/>
              <w:rPr>
                <w:rFonts w:ascii="Times New Roman" w:eastAsia="Times New Roman" w:hAnsi="Times New Roman" w:cs="Times New Roman"/>
                <w:sz w:val="20"/>
                <w:szCs w:val="20"/>
                <w:lang w:val="en-US"/>
              </w:rPr>
            </w:pPr>
            <w:r w:rsidRPr="00EB3BFE">
              <w:rPr>
                <w:rFonts w:ascii="Times New Roman" w:hAnsi="Times New Roman" w:cs="Times New Roman"/>
                <w:sz w:val="20"/>
                <w:szCs w:val="20"/>
              </w:rPr>
              <w:t>Financial liabilities designated at fair value</w:t>
            </w:r>
          </w:p>
        </w:tc>
        <w:tc>
          <w:tcPr>
            <w:tcW w:w="2127" w:type="dxa"/>
            <w:tcBorders>
              <w:top w:val="nil"/>
              <w:left w:val="nil"/>
              <w:bottom w:val="single" w:sz="8" w:space="0" w:color="000000"/>
              <w:right w:val="single" w:sz="8" w:space="0" w:color="000000"/>
            </w:tcBorders>
            <w:shd w:val="clear" w:color="auto" w:fill="auto"/>
            <w:hideMark/>
          </w:tcPr>
          <w:p w14:paraId="6BD0989B" w14:textId="63321852" w:rsidR="00B107F1" w:rsidRPr="00B107F1" w:rsidRDefault="00B107F1" w:rsidP="00B107F1">
            <w:pPr>
              <w:spacing w:after="0" w:line="240" w:lineRule="auto"/>
              <w:jc w:val="right"/>
              <w:rPr>
                <w:rFonts w:ascii="Times New Roman" w:eastAsia="Times New Roman" w:hAnsi="Times New Roman" w:cs="Times New Roman"/>
                <w:sz w:val="20"/>
                <w:szCs w:val="20"/>
                <w:lang w:val="en-US"/>
              </w:rPr>
            </w:pPr>
            <w:r w:rsidRPr="00B107F1">
              <w:rPr>
                <w:rFonts w:ascii="Times New Roman" w:hAnsi="Times New Roman" w:cs="Times New Roman"/>
                <w:sz w:val="20"/>
                <w:szCs w:val="20"/>
              </w:rPr>
              <w:t xml:space="preserve"> -   </w:t>
            </w:r>
          </w:p>
        </w:tc>
        <w:tc>
          <w:tcPr>
            <w:tcW w:w="1950" w:type="dxa"/>
            <w:tcBorders>
              <w:top w:val="nil"/>
              <w:left w:val="nil"/>
              <w:bottom w:val="single" w:sz="8" w:space="0" w:color="000000"/>
              <w:right w:val="single" w:sz="8" w:space="0" w:color="auto"/>
            </w:tcBorders>
            <w:shd w:val="clear" w:color="000000" w:fill="E0E0E0"/>
            <w:hideMark/>
          </w:tcPr>
          <w:p w14:paraId="3C7B5AD6" w14:textId="79314B5B" w:rsidR="00B107F1" w:rsidRPr="00B107F1" w:rsidRDefault="00B107F1" w:rsidP="00B107F1">
            <w:pPr>
              <w:spacing w:after="0" w:line="240" w:lineRule="auto"/>
              <w:jc w:val="right"/>
              <w:rPr>
                <w:rFonts w:ascii="Times New Roman" w:eastAsia="Times New Roman" w:hAnsi="Times New Roman" w:cs="Times New Roman"/>
                <w:sz w:val="20"/>
                <w:szCs w:val="20"/>
                <w:lang w:val="en-US"/>
              </w:rPr>
            </w:pPr>
            <w:r w:rsidRPr="00B107F1">
              <w:rPr>
                <w:rFonts w:ascii="Times New Roman" w:hAnsi="Times New Roman" w:cs="Times New Roman"/>
                <w:sz w:val="20"/>
                <w:szCs w:val="20"/>
              </w:rPr>
              <w:t>0</w:t>
            </w:r>
          </w:p>
        </w:tc>
      </w:tr>
      <w:tr w:rsidR="00B107F1" w:rsidRPr="00EB3BFE" w14:paraId="442D6D37" w14:textId="77777777" w:rsidTr="0048665A">
        <w:trPr>
          <w:trHeight w:val="345"/>
        </w:trPr>
        <w:tc>
          <w:tcPr>
            <w:tcW w:w="5093" w:type="dxa"/>
            <w:tcBorders>
              <w:top w:val="nil"/>
              <w:left w:val="single" w:sz="8" w:space="0" w:color="auto"/>
              <w:bottom w:val="single" w:sz="8" w:space="0" w:color="000000"/>
              <w:right w:val="single" w:sz="8" w:space="0" w:color="000000"/>
            </w:tcBorders>
            <w:shd w:val="clear" w:color="auto" w:fill="auto"/>
            <w:hideMark/>
          </w:tcPr>
          <w:p w14:paraId="56215726" w14:textId="01CE4992" w:rsidR="00B107F1" w:rsidRPr="00EB3BFE" w:rsidRDefault="00B107F1" w:rsidP="00B107F1">
            <w:pPr>
              <w:spacing w:after="0" w:line="240" w:lineRule="auto"/>
              <w:jc w:val="both"/>
              <w:rPr>
                <w:rFonts w:ascii="Times New Roman" w:eastAsia="Times New Roman" w:hAnsi="Times New Roman" w:cs="Times New Roman"/>
                <w:sz w:val="20"/>
                <w:szCs w:val="20"/>
                <w:lang w:val="en-US"/>
              </w:rPr>
            </w:pPr>
            <w:r w:rsidRPr="00EB3BFE">
              <w:rPr>
                <w:rFonts w:ascii="Times New Roman" w:hAnsi="Times New Roman" w:cs="Times New Roman"/>
                <w:sz w:val="20"/>
                <w:szCs w:val="20"/>
              </w:rPr>
              <w:t>Derivative financial instruments</w:t>
            </w:r>
          </w:p>
        </w:tc>
        <w:tc>
          <w:tcPr>
            <w:tcW w:w="2127" w:type="dxa"/>
            <w:tcBorders>
              <w:top w:val="nil"/>
              <w:left w:val="nil"/>
              <w:bottom w:val="single" w:sz="8" w:space="0" w:color="000000"/>
              <w:right w:val="single" w:sz="8" w:space="0" w:color="000000"/>
            </w:tcBorders>
            <w:shd w:val="clear" w:color="auto" w:fill="auto"/>
            <w:hideMark/>
          </w:tcPr>
          <w:p w14:paraId="581939F9" w14:textId="6AC3A22B" w:rsidR="00B107F1" w:rsidRPr="00B107F1" w:rsidRDefault="00B107F1" w:rsidP="00B107F1">
            <w:pPr>
              <w:spacing w:after="0" w:line="240" w:lineRule="auto"/>
              <w:jc w:val="right"/>
              <w:rPr>
                <w:rFonts w:ascii="Times New Roman" w:eastAsia="Times New Roman" w:hAnsi="Times New Roman" w:cs="Times New Roman"/>
                <w:sz w:val="20"/>
                <w:szCs w:val="20"/>
                <w:lang w:val="en-US"/>
              </w:rPr>
            </w:pPr>
            <w:r w:rsidRPr="00B107F1">
              <w:rPr>
                <w:rFonts w:ascii="Times New Roman" w:hAnsi="Times New Roman" w:cs="Times New Roman"/>
                <w:sz w:val="20"/>
                <w:szCs w:val="20"/>
              </w:rPr>
              <w:t xml:space="preserve"> -   </w:t>
            </w:r>
          </w:p>
        </w:tc>
        <w:tc>
          <w:tcPr>
            <w:tcW w:w="1950" w:type="dxa"/>
            <w:tcBorders>
              <w:top w:val="nil"/>
              <w:left w:val="nil"/>
              <w:bottom w:val="single" w:sz="8" w:space="0" w:color="000000"/>
              <w:right w:val="single" w:sz="8" w:space="0" w:color="auto"/>
            </w:tcBorders>
            <w:shd w:val="clear" w:color="000000" w:fill="E0E0E0"/>
            <w:hideMark/>
          </w:tcPr>
          <w:p w14:paraId="5AD1F83F" w14:textId="721487E5" w:rsidR="00B107F1" w:rsidRPr="00B107F1" w:rsidRDefault="00B107F1" w:rsidP="00B107F1">
            <w:pPr>
              <w:spacing w:after="0" w:line="240" w:lineRule="auto"/>
              <w:jc w:val="right"/>
              <w:rPr>
                <w:rFonts w:ascii="Times New Roman" w:eastAsia="Times New Roman" w:hAnsi="Times New Roman" w:cs="Times New Roman"/>
                <w:sz w:val="20"/>
                <w:szCs w:val="20"/>
                <w:lang w:val="en-US"/>
              </w:rPr>
            </w:pPr>
            <w:r w:rsidRPr="00B107F1">
              <w:rPr>
                <w:rFonts w:ascii="Times New Roman" w:hAnsi="Times New Roman" w:cs="Times New Roman"/>
                <w:sz w:val="20"/>
                <w:szCs w:val="20"/>
              </w:rPr>
              <w:t>0</w:t>
            </w:r>
          </w:p>
        </w:tc>
      </w:tr>
      <w:tr w:rsidR="00B107F1" w:rsidRPr="00EB3BFE" w14:paraId="50508635" w14:textId="77777777" w:rsidTr="0048665A">
        <w:trPr>
          <w:trHeight w:val="345"/>
        </w:trPr>
        <w:tc>
          <w:tcPr>
            <w:tcW w:w="5093" w:type="dxa"/>
            <w:tcBorders>
              <w:top w:val="nil"/>
              <w:left w:val="single" w:sz="8" w:space="0" w:color="auto"/>
              <w:bottom w:val="single" w:sz="2" w:space="0" w:color="000000"/>
              <w:right w:val="single" w:sz="8" w:space="0" w:color="000000"/>
            </w:tcBorders>
            <w:shd w:val="clear" w:color="auto" w:fill="auto"/>
            <w:hideMark/>
          </w:tcPr>
          <w:p w14:paraId="1DC3B924" w14:textId="190E495D" w:rsidR="00B107F1" w:rsidRPr="00EB3BFE" w:rsidRDefault="00B107F1" w:rsidP="00B107F1">
            <w:pPr>
              <w:spacing w:after="0" w:line="240" w:lineRule="auto"/>
              <w:jc w:val="both"/>
              <w:rPr>
                <w:rFonts w:ascii="Times New Roman" w:eastAsia="Times New Roman" w:hAnsi="Times New Roman" w:cs="Times New Roman"/>
                <w:sz w:val="20"/>
                <w:szCs w:val="20"/>
                <w:lang w:val="en-US"/>
              </w:rPr>
            </w:pPr>
            <w:r w:rsidRPr="00EB3BFE">
              <w:rPr>
                <w:rFonts w:ascii="Times New Roman" w:hAnsi="Times New Roman" w:cs="Times New Roman"/>
                <w:sz w:val="20"/>
                <w:szCs w:val="20"/>
              </w:rPr>
              <w:t>Debt securities in issue</w:t>
            </w:r>
          </w:p>
        </w:tc>
        <w:tc>
          <w:tcPr>
            <w:tcW w:w="2127" w:type="dxa"/>
            <w:tcBorders>
              <w:top w:val="nil"/>
              <w:left w:val="nil"/>
              <w:bottom w:val="single" w:sz="2" w:space="0" w:color="000000"/>
              <w:right w:val="single" w:sz="8" w:space="0" w:color="000000"/>
            </w:tcBorders>
            <w:shd w:val="clear" w:color="auto" w:fill="auto"/>
            <w:hideMark/>
          </w:tcPr>
          <w:p w14:paraId="78A24B9A" w14:textId="70A60845" w:rsidR="00B107F1" w:rsidRPr="00B107F1" w:rsidRDefault="00B107F1" w:rsidP="00B107F1">
            <w:pPr>
              <w:spacing w:after="0" w:line="240" w:lineRule="auto"/>
              <w:jc w:val="right"/>
              <w:rPr>
                <w:rFonts w:ascii="Times New Roman" w:eastAsia="Times New Roman" w:hAnsi="Times New Roman" w:cs="Times New Roman"/>
                <w:sz w:val="20"/>
                <w:szCs w:val="20"/>
                <w:lang w:val="en-US"/>
              </w:rPr>
            </w:pPr>
            <w:r w:rsidRPr="00B107F1">
              <w:rPr>
                <w:rFonts w:ascii="Times New Roman" w:hAnsi="Times New Roman" w:cs="Times New Roman"/>
                <w:sz w:val="20"/>
                <w:szCs w:val="20"/>
              </w:rPr>
              <w:t>26,132</w:t>
            </w:r>
          </w:p>
        </w:tc>
        <w:tc>
          <w:tcPr>
            <w:tcW w:w="1950" w:type="dxa"/>
            <w:tcBorders>
              <w:top w:val="nil"/>
              <w:left w:val="nil"/>
              <w:bottom w:val="single" w:sz="2" w:space="0" w:color="000000"/>
              <w:right w:val="single" w:sz="8" w:space="0" w:color="auto"/>
            </w:tcBorders>
            <w:shd w:val="clear" w:color="000000" w:fill="E0E0E0"/>
            <w:hideMark/>
          </w:tcPr>
          <w:p w14:paraId="053B55A0" w14:textId="6378DD29" w:rsidR="00B107F1" w:rsidRPr="00B107F1" w:rsidRDefault="00B107F1" w:rsidP="00B107F1">
            <w:pPr>
              <w:spacing w:after="0" w:line="240" w:lineRule="auto"/>
              <w:jc w:val="right"/>
              <w:rPr>
                <w:rFonts w:ascii="Times New Roman" w:eastAsia="Times New Roman" w:hAnsi="Times New Roman" w:cs="Times New Roman"/>
                <w:sz w:val="20"/>
                <w:szCs w:val="20"/>
                <w:lang w:val="en-US"/>
              </w:rPr>
            </w:pPr>
            <w:r w:rsidRPr="00B107F1">
              <w:rPr>
                <w:rFonts w:ascii="Times New Roman" w:hAnsi="Times New Roman" w:cs="Times New Roman"/>
                <w:sz w:val="20"/>
                <w:szCs w:val="20"/>
              </w:rPr>
              <w:t>26,132</w:t>
            </w:r>
          </w:p>
        </w:tc>
      </w:tr>
      <w:tr w:rsidR="00B107F1" w:rsidRPr="00EB3BFE" w14:paraId="455A7719" w14:textId="77777777" w:rsidTr="0048665A">
        <w:trPr>
          <w:trHeight w:val="675"/>
        </w:trPr>
        <w:tc>
          <w:tcPr>
            <w:tcW w:w="5093" w:type="dxa"/>
            <w:tcBorders>
              <w:top w:val="single" w:sz="2" w:space="0" w:color="000000"/>
              <w:left w:val="single" w:sz="8" w:space="0" w:color="auto"/>
              <w:bottom w:val="single" w:sz="4" w:space="0" w:color="auto"/>
              <w:right w:val="single" w:sz="8" w:space="0" w:color="000000"/>
            </w:tcBorders>
            <w:shd w:val="clear" w:color="auto" w:fill="auto"/>
            <w:hideMark/>
          </w:tcPr>
          <w:p w14:paraId="3C398A1A" w14:textId="01049DAC" w:rsidR="00B107F1" w:rsidRPr="00EB3BFE" w:rsidRDefault="00B107F1" w:rsidP="00B107F1">
            <w:pPr>
              <w:spacing w:after="0" w:line="240" w:lineRule="auto"/>
              <w:jc w:val="both"/>
              <w:rPr>
                <w:rFonts w:ascii="Times New Roman" w:eastAsia="Times New Roman" w:hAnsi="Times New Roman" w:cs="Times New Roman"/>
                <w:sz w:val="20"/>
                <w:szCs w:val="20"/>
                <w:lang w:val="en-US"/>
              </w:rPr>
            </w:pPr>
            <w:r w:rsidRPr="00EB3BFE">
              <w:rPr>
                <w:rFonts w:ascii="Times New Roman" w:hAnsi="Times New Roman" w:cs="Times New Roman"/>
                <w:sz w:val="20"/>
                <w:szCs w:val="20"/>
              </w:rPr>
              <w:t>Accruals, deferred income and other liabilities</w:t>
            </w:r>
          </w:p>
        </w:tc>
        <w:tc>
          <w:tcPr>
            <w:tcW w:w="2127" w:type="dxa"/>
            <w:tcBorders>
              <w:top w:val="single" w:sz="2" w:space="0" w:color="000000"/>
              <w:left w:val="nil"/>
              <w:bottom w:val="single" w:sz="4" w:space="0" w:color="auto"/>
              <w:right w:val="single" w:sz="8" w:space="0" w:color="000000"/>
            </w:tcBorders>
            <w:shd w:val="clear" w:color="auto" w:fill="auto"/>
            <w:hideMark/>
          </w:tcPr>
          <w:p w14:paraId="0673E20A" w14:textId="32B033A6" w:rsidR="00B107F1" w:rsidRPr="00B107F1" w:rsidRDefault="00E22EA8" w:rsidP="00B107F1">
            <w:pPr>
              <w:spacing w:after="0" w:line="240" w:lineRule="auto"/>
              <w:jc w:val="right"/>
              <w:rPr>
                <w:rFonts w:ascii="Times New Roman" w:eastAsia="Times New Roman" w:hAnsi="Times New Roman" w:cs="Times New Roman"/>
                <w:sz w:val="20"/>
                <w:szCs w:val="20"/>
                <w:lang w:val="en-US"/>
              </w:rPr>
            </w:pPr>
            <w:r w:rsidRPr="00E22EA8">
              <w:rPr>
                <w:rFonts w:ascii="Times New Roman" w:hAnsi="Times New Roman" w:cs="Times New Roman"/>
                <w:sz w:val="20"/>
                <w:szCs w:val="20"/>
              </w:rPr>
              <w:t>82,930</w:t>
            </w:r>
          </w:p>
        </w:tc>
        <w:tc>
          <w:tcPr>
            <w:tcW w:w="1950" w:type="dxa"/>
            <w:tcBorders>
              <w:top w:val="single" w:sz="2" w:space="0" w:color="000000"/>
              <w:left w:val="nil"/>
              <w:bottom w:val="single" w:sz="4" w:space="0" w:color="auto"/>
              <w:right w:val="single" w:sz="8" w:space="0" w:color="auto"/>
            </w:tcBorders>
            <w:shd w:val="clear" w:color="000000" w:fill="E0E0E0"/>
            <w:hideMark/>
          </w:tcPr>
          <w:p w14:paraId="26B33DE6" w14:textId="74B58878" w:rsidR="00B107F1" w:rsidRPr="00B107F1" w:rsidRDefault="00E22EA8" w:rsidP="00B107F1">
            <w:pPr>
              <w:spacing w:after="0" w:line="240" w:lineRule="auto"/>
              <w:jc w:val="right"/>
              <w:rPr>
                <w:rFonts w:ascii="Times New Roman" w:eastAsia="Times New Roman" w:hAnsi="Times New Roman" w:cs="Times New Roman"/>
                <w:sz w:val="20"/>
                <w:szCs w:val="20"/>
                <w:lang w:val="en-US"/>
              </w:rPr>
            </w:pPr>
            <w:r w:rsidRPr="00E22EA8">
              <w:rPr>
                <w:rFonts w:ascii="Times New Roman" w:hAnsi="Times New Roman" w:cs="Times New Roman"/>
                <w:sz w:val="20"/>
                <w:szCs w:val="20"/>
              </w:rPr>
              <w:t>82,930</w:t>
            </w:r>
          </w:p>
        </w:tc>
      </w:tr>
      <w:tr w:rsidR="00B107F1" w:rsidRPr="00EB3BFE" w14:paraId="79EBD9EA" w14:textId="77777777" w:rsidTr="0048665A">
        <w:trPr>
          <w:trHeight w:val="345"/>
        </w:trPr>
        <w:tc>
          <w:tcPr>
            <w:tcW w:w="5093" w:type="dxa"/>
            <w:tcBorders>
              <w:top w:val="single" w:sz="4" w:space="0" w:color="auto"/>
              <w:left w:val="single" w:sz="8" w:space="0" w:color="auto"/>
              <w:bottom w:val="single" w:sz="8" w:space="0" w:color="000000"/>
              <w:right w:val="single" w:sz="8" w:space="0" w:color="000000"/>
            </w:tcBorders>
            <w:shd w:val="clear" w:color="auto" w:fill="auto"/>
            <w:hideMark/>
          </w:tcPr>
          <w:p w14:paraId="3A97CC0E" w14:textId="25D014DD" w:rsidR="00B107F1" w:rsidRPr="00EB3BFE" w:rsidRDefault="00B107F1" w:rsidP="00B107F1">
            <w:pPr>
              <w:spacing w:after="0" w:line="240" w:lineRule="auto"/>
              <w:jc w:val="both"/>
              <w:rPr>
                <w:rFonts w:ascii="Times New Roman" w:eastAsia="Times New Roman" w:hAnsi="Times New Roman" w:cs="Times New Roman"/>
                <w:sz w:val="20"/>
                <w:szCs w:val="20"/>
                <w:lang w:val="en-US"/>
              </w:rPr>
            </w:pPr>
            <w:r w:rsidRPr="00EB3BFE">
              <w:rPr>
                <w:rFonts w:ascii="Times New Roman" w:hAnsi="Times New Roman" w:cs="Times New Roman"/>
                <w:sz w:val="20"/>
                <w:szCs w:val="20"/>
              </w:rPr>
              <w:lastRenderedPageBreak/>
              <w:t>Current and deferred tax liabilities</w:t>
            </w:r>
          </w:p>
        </w:tc>
        <w:tc>
          <w:tcPr>
            <w:tcW w:w="2127" w:type="dxa"/>
            <w:tcBorders>
              <w:top w:val="single" w:sz="4" w:space="0" w:color="auto"/>
              <w:left w:val="nil"/>
              <w:bottom w:val="single" w:sz="8" w:space="0" w:color="000000"/>
              <w:right w:val="single" w:sz="8" w:space="0" w:color="000000"/>
            </w:tcBorders>
            <w:shd w:val="clear" w:color="auto" w:fill="auto"/>
            <w:hideMark/>
          </w:tcPr>
          <w:p w14:paraId="6C7C03FC" w14:textId="64642FE6" w:rsidR="00B107F1" w:rsidRPr="00B107F1" w:rsidRDefault="00E22EA8" w:rsidP="00B107F1">
            <w:pPr>
              <w:spacing w:after="0" w:line="240" w:lineRule="auto"/>
              <w:jc w:val="right"/>
              <w:rPr>
                <w:rFonts w:ascii="Times New Roman" w:eastAsia="Times New Roman" w:hAnsi="Times New Roman" w:cs="Times New Roman"/>
                <w:sz w:val="20"/>
                <w:szCs w:val="20"/>
                <w:lang w:val="en-US"/>
              </w:rPr>
            </w:pPr>
            <w:r w:rsidRPr="00E22EA8">
              <w:rPr>
                <w:rFonts w:ascii="Times New Roman" w:hAnsi="Times New Roman" w:cs="Times New Roman"/>
                <w:sz w:val="20"/>
                <w:szCs w:val="20"/>
              </w:rPr>
              <w:t>7,941</w:t>
            </w:r>
          </w:p>
        </w:tc>
        <w:tc>
          <w:tcPr>
            <w:tcW w:w="1950" w:type="dxa"/>
            <w:tcBorders>
              <w:top w:val="single" w:sz="4" w:space="0" w:color="auto"/>
              <w:left w:val="nil"/>
              <w:bottom w:val="single" w:sz="8" w:space="0" w:color="000000"/>
              <w:right w:val="single" w:sz="8" w:space="0" w:color="auto"/>
            </w:tcBorders>
            <w:shd w:val="clear" w:color="000000" w:fill="E0E0E0"/>
            <w:hideMark/>
          </w:tcPr>
          <w:p w14:paraId="6CB1BEA6" w14:textId="05C00500" w:rsidR="00B107F1" w:rsidRPr="00B107F1" w:rsidRDefault="00E22EA8" w:rsidP="00B107F1">
            <w:pPr>
              <w:spacing w:after="0" w:line="240" w:lineRule="auto"/>
              <w:jc w:val="right"/>
              <w:rPr>
                <w:rFonts w:ascii="Times New Roman" w:eastAsia="Times New Roman" w:hAnsi="Times New Roman" w:cs="Times New Roman"/>
                <w:sz w:val="20"/>
                <w:szCs w:val="20"/>
                <w:lang w:val="en-US"/>
              </w:rPr>
            </w:pPr>
            <w:r w:rsidRPr="00E22EA8">
              <w:rPr>
                <w:rFonts w:ascii="Times New Roman" w:hAnsi="Times New Roman" w:cs="Times New Roman"/>
                <w:sz w:val="20"/>
                <w:szCs w:val="20"/>
              </w:rPr>
              <w:t>7,941</w:t>
            </w:r>
          </w:p>
        </w:tc>
      </w:tr>
      <w:tr w:rsidR="00B107F1" w:rsidRPr="00EB3BFE" w14:paraId="6CEF30EE" w14:textId="77777777" w:rsidTr="0048665A">
        <w:trPr>
          <w:trHeight w:val="345"/>
        </w:trPr>
        <w:tc>
          <w:tcPr>
            <w:tcW w:w="5093" w:type="dxa"/>
            <w:tcBorders>
              <w:top w:val="nil"/>
              <w:left w:val="single" w:sz="8" w:space="0" w:color="auto"/>
              <w:bottom w:val="single" w:sz="8" w:space="0" w:color="000000"/>
              <w:right w:val="single" w:sz="8" w:space="0" w:color="000000"/>
            </w:tcBorders>
            <w:shd w:val="clear" w:color="auto" w:fill="auto"/>
            <w:hideMark/>
          </w:tcPr>
          <w:p w14:paraId="6813F0B3" w14:textId="3C34ADEC" w:rsidR="00B107F1" w:rsidRPr="00EB3BFE" w:rsidRDefault="00B107F1" w:rsidP="00B107F1">
            <w:pPr>
              <w:spacing w:after="0" w:line="240" w:lineRule="auto"/>
              <w:jc w:val="both"/>
              <w:rPr>
                <w:rFonts w:ascii="Times New Roman" w:eastAsia="Times New Roman" w:hAnsi="Times New Roman" w:cs="Times New Roman"/>
                <w:sz w:val="20"/>
                <w:szCs w:val="20"/>
                <w:lang w:val="en-US"/>
              </w:rPr>
            </w:pPr>
            <w:r w:rsidRPr="00EB3BFE">
              <w:rPr>
                <w:rFonts w:ascii="Times New Roman" w:hAnsi="Times New Roman" w:cs="Times New Roman"/>
                <w:sz w:val="20"/>
                <w:szCs w:val="20"/>
              </w:rPr>
              <w:t>Subordinated liabilities</w:t>
            </w:r>
          </w:p>
        </w:tc>
        <w:tc>
          <w:tcPr>
            <w:tcW w:w="2127" w:type="dxa"/>
            <w:tcBorders>
              <w:top w:val="nil"/>
              <w:left w:val="nil"/>
              <w:bottom w:val="single" w:sz="8" w:space="0" w:color="000000"/>
              <w:right w:val="single" w:sz="8" w:space="0" w:color="000000"/>
            </w:tcBorders>
            <w:shd w:val="clear" w:color="auto" w:fill="auto"/>
            <w:hideMark/>
          </w:tcPr>
          <w:p w14:paraId="6005E542" w14:textId="0A5FA41E" w:rsidR="00B107F1" w:rsidRPr="00B107F1" w:rsidRDefault="00E22EA8" w:rsidP="00B107F1">
            <w:pPr>
              <w:spacing w:after="0" w:line="240" w:lineRule="auto"/>
              <w:jc w:val="right"/>
              <w:rPr>
                <w:rFonts w:ascii="Times New Roman" w:eastAsia="Times New Roman" w:hAnsi="Times New Roman" w:cs="Times New Roman"/>
                <w:sz w:val="20"/>
                <w:szCs w:val="20"/>
                <w:lang w:val="en-US"/>
              </w:rPr>
            </w:pPr>
            <w:r w:rsidRPr="00E22EA8">
              <w:rPr>
                <w:rFonts w:ascii="Times New Roman" w:hAnsi="Times New Roman" w:cs="Times New Roman"/>
                <w:sz w:val="20"/>
                <w:szCs w:val="20"/>
              </w:rPr>
              <w:t>156,999</w:t>
            </w:r>
          </w:p>
        </w:tc>
        <w:tc>
          <w:tcPr>
            <w:tcW w:w="1950" w:type="dxa"/>
            <w:tcBorders>
              <w:top w:val="nil"/>
              <w:left w:val="nil"/>
              <w:bottom w:val="single" w:sz="8" w:space="0" w:color="000000"/>
              <w:right w:val="single" w:sz="8" w:space="0" w:color="auto"/>
            </w:tcBorders>
            <w:shd w:val="clear" w:color="000000" w:fill="E0E0E0"/>
            <w:hideMark/>
          </w:tcPr>
          <w:p w14:paraId="5D38F3D6" w14:textId="1E5C18CD" w:rsidR="00B107F1" w:rsidRPr="00B107F1" w:rsidRDefault="00E22EA8" w:rsidP="00B107F1">
            <w:pPr>
              <w:spacing w:after="0" w:line="240" w:lineRule="auto"/>
              <w:jc w:val="right"/>
              <w:rPr>
                <w:rFonts w:ascii="Times New Roman" w:eastAsia="Times New Roman" w:hAnsi="Times New Roman" w:cs="Times New Roman"/>
                <w:sz w:val="20"/>
                <w:szCs w:val="20"/>
                <w:lang w:val="en-US"/>
              </w:rPr>
            </w:pPr>
            <w:r w:rsidRPr="00E22EA8">
              <w:rPr>
                <w:rFonts w:ascii="Times New Roman" w:hAnsi="Times New Roman" w:cs="Times New Roman"/>
                <w:sz w:val="20"/>
                <w:szCs w:val="20"/>
              </w:rPr>
              <w:t>156,999</w:t>
            </w:r>
          </w:p>
        </w:tc>
      </w:tr>
      <w:tr w:rsidR="00B107F1" w:rsidRPr="00EB3BFE" w14:paraId="50440B39" w14:textId="77777777" w:rsidTr="0048665A">
        <w:trPr>
          <w:trHeight w:val="345"/>
        </w:trPr>
        <w:tc>
          <w:tcPr>
            <w:tcW w:w="5093" w:type="dxa"/>
            <w:tcBorders>
              <w:top w:val="single" w:sz="8" w:space="0" w:color="000000"/>
              <w:left w:val="single" w:sz="8" w:space="0" w:color="auto"/>
              <w:bottom w:val="single" w:sz="8" w:space="0" w:color="000000"/>
              <w:right w:val="single" w:sz="8" w:space="0" w:color="000000"/>
            </w:tcBorders>
            <w:shd w:val="clear" w:color="auto" w:fill="auto"/>
            <w:hideMark/>
          </w:tcPr>
          <w:p w14:paraId="2F3512A6" w14:textId="539461D3" w:rsidR="00B107F1" w:rsidRPr="00EB3BFE" w:rsidRDefault="00B107F1" w:rsidP="00B107F1">
            <w:pPr>
              <w:spacing w:after="0" w:line="240" w:lineRule="auto"/>
              <w:jc w:val="both"/>
              <w:rPr>
                <w:rFonts w:ascii="Times New Roman" w:eastAsia="Times New Roman" w:hAnsi="Times New Roman" w:cs="Times New Roman"/>
                <w:sz w:val="20"/>
                <w:szCs w:val="20"/>
                <w:lang w:val="en-US"/>
              </w:rPr>
            </w:pPr>
            <w:r w:rsidRPr="00EB3BFE">
              <w:rPr>
                <w:rFonts w:ascii="Times New Roman" w:hAnsi="Times New Roman" w:cs="Times New Roman"/>
                <w:sz w:val="20"/>
                <w:szCs w:val="20"/>
              </w:rPr>
              <w:t>Provisions</w:t>
            </w:r>
          </w:p>
        </w:tc>
        <w:tc>
          <w:tcPr>
            <w:tcW w:w="2127" w:type="dxa"/>
            <w:tcBorders>
              <w:top w:val="single" w:sz="8" w:space="0" w:color="000000"/>
              <w:left w:val="nil"/>
              <w:bottom w:val="single" w:sz="8" w:space="0" w:color="000000"/>
              <w:right w:val="single" w:sz="8" w:space="0" w:color="000000"/>
            </w:tcBorders>
            <w:shd w:val="clear" w:color="auto" w:fill="auto"/>
            <w:hideMark/>
          </w:tcPr>
          <w:p w14:paraId="22192B45" w14:textId="08272001" w:rsidR="00B107F1" w:rsidRPr="00B107F1" w:rsidRDefault="00E22EA8" w:rsidP="00B107F1">
            <w:pPr>
              <w:spacing w:after="0" w:line="240" w:lineRule="auto"/>
              <w:jc w:val="right"/>
              <w:rPr>
                <w:rFonts w:ascii="Times New Roman" w:eastAsia="Times New Roman" w:hAnsi="Times New Roman" w:cs="Times New Roman"/>
                <w:sz w:val="20"/>
                <w:szCs w:val="20"/>
                <w:lang w:val="en-US"/>
              </w:rPr>
            </w:pPr>
            <w:r w:rsidRPr="00E22EA8">
              <w:rPr>
                <w:rFonts w:ascii="Times New Roman" w:hAnsi="Times New Roman" w:cs="Times New Roman"/>
                <w:sz w:val="20"/>
                <w:szCs w:val="20"/>
              </w:rPr>
              <w:t>3,129</w:t>
            </w:r>
          </w:p>
        </w:tc>
        <w:tc>
          <w:tcPr>
            <w:tcW w:w="1950" w:type="dxa"/>
            <w:tcBorders>
              <w:top w:val="single" w:sz="8" w:space="0" w:color="000000"/>
              <w:left w:val="nil"/>
              <w:bottom w:val="single" w:sz="8" w:space="0" w:color="000000"/>
              <w:right w:val="single" w:sz="8" w:space="0" w:color="auto"/>
            </w:tcBorders>
            <w:shd w:val="clear" w:color="000000" w:fill="E0E0E0"/>
            <w:hideMark/>
          </w:tcPr>
          <w:p w14:paraId="3A9DBC0D" w14:textId="27F81E6B" w:rsidR="00B107F1" w:rsidRPr="00B107F1" w:rsidRDefault="00E22EA8" w:rsidP="00B107F1">
            <w:pPr>
              <w:spacing w:after="0" w:line="240" w:lineRule="auto"/>
              <w:jc w:val="right"/>
              <w:rPr>
                <w:rFonts w:ascii="Times New Roman" w:eastAsia="Times New Roman" w:hAnsi="Times New Roman" w:cs="Times New Roman"/>
                <w:sz w:val="20"/>
                <w:szCs w:val="20"/>
                <w:lang w:val="en-US"/>
              </w:rPr>
            </w:pPr>
            <w:r w:rsidRPr="00E22EA8">
              <w:rPr>
                <w:rFonts w:ascii="Times New Roman" w:hAnsi="Times New Roman" w:cs="Times New Roman"/>
                <w:sz w:val="20"/>
                <w:szCs w:val="20"/>
              </w:rPr>
              <w:t>3,129</w:t>
            </w:r>
          </w:p>
        </w:tc>
      </w:tr>
      <w:tr w:rsidR="00B107F1" w:rsidRPr="00EB3BFE" w14:paraId="4BF88C94" w14:textId="77777777" w:rsidTr="0048665A">
        <w:trPr>
          <w:trHeight w:val="345"/>
        </w:trPr>
        <w:tc>
          <w:tcPr>
            <w:tcW w:w="5093" w:type="dxa"/>
            <w:tcBorders>
              <w:top w:val="nil"/>
              <w:left w:val="single" w:sz="8" w:space="0" w:color="auto"/>
              <w:bottom w:val="single" w:sz="8" w:space="0" w:color="000000"/>
              <w:right w:val="single" w:sz="8" w:space="0" w:color="000000"/>
            </w:tcBorders>
            <w:shd w:val="clear" w:color="auto" w:fill="auto"/>
            <w:hideMark/>
          </w:tcPr>
          <w:p w14:paraId="5D6F7501" w14:textId="5853278D" w:rsidR="00B107F1" w:rsidRPr="00EB3BFE" w:rsidRDefault="00B107F1" w:rsidP="00B107F1">
            <w:pPr>
              <w:spacing w:after="0" w:line="240" w:lineRule="auto"/>
              <w:jc w:val="both"/>
              <w:rPr>
                <w:rFonts w:ascii="Times New Roman" w:eastAsia="Times New Roman" w:hAnsi="Times New Roman" w:cs="Times New Roman"/>
                <w:sz w:val="20"/>
                <w:szCs w:val="20"/>
                <w:lang w:val="en-US"/>
              </w:rPr>
            </w:pPr>
            <w:r w:rsidRPr="00EB3BFE">
              <w:rPr>
                <w:rFonts w:ascii="Times New Roman" w:hAnsi="Times New Roman" w:cs="Times New Roman"/>
                <w:sz w:val="20"/>
                <w:szCs w:val="20"/>
              </w:rPr>
              <w:t>Retirement benefit liabilities</w:t>
            </w:r>
          </w:p>
        </w:tc>
        <w:tc>
          <w:tcPr>
            <w:tcW w:w="2127" w:type="dxa"/>
            <w:tcBorders>
              <w:top w:val="nil"/>
              <w:left w:val="nil"/>
              <w:bottom w:val="single" w:sz="8" w:space="0" w:color="000000"/>
              <w:right w:val="single" w:sz="8" w:space="0" w:color="000000"/>
            </w:tcBorders>
            <w:shd w:val="clear" w:color="auto" w:fill="auto"/>
            <w:hideMark/>
          </w:tcPr>
          <w:p w14:paraId="17E88567" w14:textId="2E69603D" w:rsidR="00B107F1" w:rsidRPr="00B107F1" w:rsidRDefault="00B107F1" w:rsidP="00B107F1">
            <w:pPr>
              <w:spacing w:after="0" w:line="240" w:lineRule="auto"/>
              <w:jc w:val="right"/>
              <w:rPr>
                <w:rFonts w:ascii="Times New Roman" w:eastAsia="Times New Roman" w:hAnsi="Times New Roman" w:cs="Times New Roman"/>
                <w:sz w:val="20"/>
                <w:szCs w:val="20"/>
                <w:lang w:val="en-US"/>
              </w:rPr>
            </w:pPr>
            <w:r w:rsidRPr="00B107F1">
              <w:rPr>
                <w:rFonts w:ascii="Times New Roman" w:hAnsi="Times New Roman" w:cs="Times New Roman"/>
                <w:sz w:val="20"/>
                <w:szCs w:val="20"/>
              </w:rPr>
              <w:t xml:space="preserve"> -   </w:t>
            </w:r>
          </w:p>
        </w:tc>
        <w:tc>
          <w:tcPr>
            <w:tcW w:w="1950" w:type="dxa"/>
            <w:tcBorders>
              <w:top w:val="nil"/>
              <w:left w:val="nil"/>
              <w:bottom w:val="single" w:sz="8" w:space="0" w:color="000000"/>
              <w:right w:val="single" w:sz="8" w:space="0" w:color="auto"/>
            </w:tcBorders>
            <w:shd w:val="clear" w:color="000000" w:fill="E0E0E0"/>
            <w:hideMark/>
          </w:tcPr>
          <w:p w14:paraId="4E527252" w14:textId="0F131D70" w:rsidR="00B107F1" w:rsidRPr="00B107F1" w:rsidRDefault="00B107F1" w:rsidP="00B107F1">
            <w:pPr>
              <w:spacing w:after="0" w:line="240" w:lineRule="auto"/>
              <w:jc w:val="right"/>
              <w:rPr>
                <w:rFonts w:ascii="Times New Roman" w:eastAsia="Times New Roman" w:hAnsi="Times New Roman" w:cs="Times New Roman"/>
                <w:sz w:val="20"/>
                <w:szCs w:val="20"/>
                <w:lang w:val="en-US"/>
              </w:rPr>
            </w:pPr>
            <w:r w:rsidRPr="00B107F1">
              <w:rPr>
                <w:rFonts w:ascii="Times New Roman" w:hAnsi="Times New Roman" w:cs="Times New Roman"/>
                <w:sz w:val="20"/>
                <w:szCs w:val="20"/>
              </w:rPr>
              <w:t>0</w:t>
            </w:r>
          </w:p>
        </w:tc>
      </w:tr>
      <w:tr w:rsidR="00B107F1" w:rsidRPr="00EB3BFE" w14:paraId="670FEEF9" w14:textId="77777777" w:rsidTr="0048665A">
        <w:trPr>
          <w:trHeight w:val="345"/>
        </w:trPr>
        <w:tc>
          <w:tcPr>
            <w:tcW w:w="5093" w:type="dxa"/>
            <w:tcBorders>
              <w:top w:val="nil"/>
              <w:left w:val="single" w:sz="8" w:space="0" w:color="auto"/>
              <w:bottom w:val="single" w:sz="8" w:space="0" w:color="000000"/>
              <w:right w:val="single" w:sz="8" w:space="0" w:color="000000"/>
            </w:tcBorders>
            <w:shd w:val="clear" w:color="auto" w:fill="auto"/>
            <w:hideMark/>
          </w:tcPr>
          <w:p w14:paraId="1935ECF9" w14:textId="657A6074" w:rsidR="00B107F1" w:rsidRPr="000813A6" w:rsidRDefault="00B107F1" w:rsidP="00B107F1">
            <w:pPr>
              <w:spacing w:after="0" w:line="240" w:lineRule="auto"/>
              <w:jc w:val="both"/>
              <w:rPr>
                <w:rFonts w:ascii="Times New Roman" w:eastAsia="Times New Roman" w:hAnsi="Times New Roman" w:cs="Times New Roman"/>
                <w:b/>
                <w:bCs/>
                <w:sz w:val="20"/>
                <w:szCs w:val="20"/>
                <w:lang w:val="en-US"/>
              </w:rPr>
            </w:pPr>
            <w:r w:rsidRPr="000813A6">
              <w:rPr>
                <w:rFonts w:ascii="Times New Roman" w:hAnsi="Times New Roman" w:cs="Times New Roman"/>
                <w:b/>
                <w:bCs/>
                <w:sz w:val="20"/>
                <w:szCs w:val="20"/>
              </w:rPr>
              <w:t>Total liabilities</w:t>
            </w:r>
          </w:p>
        </w:tc>
        <w:tc>
          <w:tcPr>
            <w:tcW w:w="2127" w:type="dxa"/>
            <w:tcBorders>
              <w:top w:val="nil"/>
              <w:left w:val="nil"/>
              <w:bottom w:val="single" w:sz="8" w:space="0" w:color="000000"/>
              <w:right w:val="single" w:sz="8" w:space="0" w:color="000000"/>
            </w:tcBorders>
            <w:shd w:val="clear" w:color="auto" w:fill="auto"/>
            <w:hideMark/>
          </w:tcPr>
          <w:p w14:paraId="44D0D2D1" w14:textId="1DDF02A6" w:rsidR="00B107F1" w:rsidRPr="00B107F1" w:rsidRDefault="00E22EA8" w:rsidP="00B107F1">
            <w:pPr>
              <w:spacing w:after="0" w:line="240" w:lineRule="auto"/>
              <w:jc w:val="right"/>
              <w:rPr>
                <w:rFonts w:ascii="Times New Roman" w:eastAsia="Times New Roman" w:hAnsi="Times New Roman" w:cs="Times New Roman"/>
                <w:b/>
                <w:bCs/>
                <w:sz w:val="20"/>
                <w:szCs w:val="20"/>
                <w:lang w:val="en-US"/>
              </w:rPr>
            </w:pPr>
            <w:r w:rsidRPr="00E22EA8">
              <w:rPr>
                <w:rFonts w:ascii="Times New Roman" w:hAnsi="Times New Roman" w:cs="Times New Roman"/>
                <w:b/>
                <w:bCs/>
                <w:sz w:val="20"/>
                <w:szCs w:val="20"/>
              </w:rPr>
              <w:t>4,226,543</w:t>
            </w:r>
          </w:p>
        </w:tc>
        <w:tc>
          <w:tcPr>
            <w:tcW w:w="1950" w:type="dxa"/>
            <w:tcBorders>
              <w:top w:val="nil"/>
              <w:left w:val="nil"/>
              <w:bottom w:val="single" w:sz="8" w:space="0" w:color="000000"/>
              <w:right w:val="single" w:sz="8" w:space="0" w:color="auto"/>
            </w:tcBorders>
            <w:shd w:val="clear" w:color="000000" w:fill="E0E0E0"/>
            <w:hideMark/>
          </w:tcPr>
          <w:p w14:paraId="1A3464E9" w14:textId="343BC16E" w:rsidR="00B107F1" w:rsidRPr="00B107F1" w:rsidRDefault="00E22EA8" w:rsidP="00B107F1">
            <w:pPr>
              <w:spacing w:after="0" w:line="240" w:lineRule="auto"/>
              <w:jc w:val="right"/>
              <w:rPr>
                <w:rFonts w:ascii="Times New Roman" w:eastAsia="Times New Roman" w:hAnsi="Times New Roman" w:cs="Times New Roman"/>
                <w:b/>
                <w:bCs/>
                <w:sz w:val="20"/>
                <w:szCs w:val="20"/>
                <w:lang w:val="en-US"/>
              </w:rPr>
            </w:pPr>
            <w:r w:rsidRPr="00E22EA8">
              <w:rPr>
                <w:rFonts w:ascii="Times New Roman" w:hAnsi="Times New Roman" w:cs="Times New Roman"/>
                <w:b/>
                <w:bCs/>
                <w:sz w:val="20"/>
                <w:szCs w:val="20"/>
              </w:rPr>
              <w:t>4,226,543</w:t>
            </w:r>
          </w:p>
        </w:tc>
      </w:tr>
      <w:tr w:rsidR="004A096A" w:rsidRPr="00EB3BFE" w14:paraId="2FAE2ACF" w14:textId="77777777" w:rsidTr="00C07380">
        <w:trPr>
          <w:trHeight w:val="345"/>
        </w:trPr>
        <w:tc>
          <w:tcPr>
            <w:tcW w:w="9170" w:type="dxa"/>
            <w:gridSpan w:val="3"/>
            <w:tcBorders>
              <w:top w:val="single" w:sz="8" w:space="0" w:color="000000"/>
              <w:left w:val="single" w:sz="8" w:space="0" w:color="auto"/>
              <w:bottom w:val="single" w:sz="8" w:space="0" w:color="000000"/>
              <w:right w:val="single" w:sz="8" w:space="0" w:color="000000"/>
            </w:tcBorders>
            <w:shd w:val="clear" w:color="000000" w:fill="92D050"/>
            <w:hideMark/>
          </w:tcPr>
          <w:p w14:paraId="694FA65D" w14:textId="59BADBEA" w:rsidR="004A096A" w:rsidRPr="00EB3BFE" w:rsidRDefault="004A096A" w:rsidP="004A096A">
            <w:pPr>
              <w:spacing w:after="0" w:line="240" w:lineRule="auto"/>
              <w:jc w:val="both"/>
              <w:rPr>
                <w:rFonts w:ascii="Times New Roman" w:eastAsia="Times New Roman" w:hAnsi="Times New Roman" w:cs="Times New Roman"/>
                <w:b/>
                <w:bCs/>
                <w:sz w:val="20"/>
                <w:szCs w:val="20"/>
                <w:lang w:val="en-US"/>
              </w:rPr>
            </w:pPr>
            <w:r w:rsidRPr="00EB3BFE">
              <w:rPr>
                <w:rFonts w:ascii="Times New Roman" w:hAnsi="Times New Roman" w:cs="Times New Roman"/>
                <w:b/>
                <w:bCs/>
                <w:sz w:val="20"/>
                <w:szCs w:val="20"/>
              </w:rPr>
              <w:t>Shareholders' Equity</w:t>
            </w:r>
          </w:p>
        </w:tc>
      </w:tr>
      <w:tr w:rsidR="00B107F1" w:rsidRPr="00EB3BFE" w14:paraId="7DCE56C8" w14:textId="77777777" w:rsidTr="0048665A">
        <w:trPr>
          <w:trHeight w:val="345"/>
        </w:trPr>
        <w:tc>
          <w:tcPr>
            <w:tcW w:w="5093" w:type="dxa"/>
            <w:tcBorders>
              <w:top w:val="nil"/>
              <w:left w:val="single" w:sz="8" w:space="0" w:color="auto"/>
              <w:bottom w:val="single" w:sz="8" w:space="0" w:color="000000"/>
              <w:right w:val="single" w:sz="8" w:space="0" w:color="000000"/>
            </w:tcBorders>
            <w:shd w:val="clear" w:color="auto" w:fill="auto"/>
            <w:hideMark/>
          </w:tcPr>
          <w:p w14:paraId="47AD05B0" w14:textId="64AACC05" w:rsidR="00B107F1" w:rsidRPr="00EB3BFE" w:rsidRDefault="00B107F1" w:rsidP="00B107F1">
            <w:pPr>
              <w:spacing w:after="0" w:line="240" w:lineRule="auto"/>
              <w:jc w:val="both"/>
              <w:rPr>
                <w:rFonts w:ascii="Times New Roman" w:eastAsia="Times New Roman" w:hAnsi="Times New Roman" w:cs="Times New Roman"/>
                <w:sz w:val="20"/>
                <w:szCs w:val="20"/>
                <w:lang w:val="en-US"/>
              </w:rPr>
            </w:pPr>
            <w:r w:rsidRPr="00EB3BFE">
              <w:rPr>
                <w:rFonts w:ascii="Times New Roman" w:hAnsi="Times New Roman" w:cs="Times New Roman"/>
                <w:sz w:val="20"/>
                <w:szCs w:val="20"/>
              </w:rPr>
              <w:t>Paid-in share capital</w:t>
            </w:r>
          </w:p>
        </w:tc>
        <w:tc>
          <w:tcPr>
            <w:tcW w:w="2127" w:type="dxa"/>
            <w:tcBorders>
              <w:top w:val="nil"/>
              <w:left w:val="nil"/>
              <w:bottom w:val="single" w:sz="8" w:space="0" w:color="000000"/>
              <w:right w:val="single" w:sz="8" w:space="0" w:color="000000"/>
            </w:tcBorders>
            <w:shd w:val="clear" w:color="auto" w:fill="auto"/>
            <w:hideMark/>
          </w:tcPr>
          <w:p w14:paraId="53C01D82" w14:textId="7880D4A8" w:rsidR="00B107F1" w:rsidRPr="00B107F1" w:rsidRDefault="00B107F1" w:rsidP="00B107F1">
            <w:pPr>
              <w:spacing w:after="0" w:line="240" w:lineRule="auto"/>
              <w:jc w:val="right"/>
              <w:rPr>
                <w:rFonts w:ascii="Times New Roman" w:eastAsia="Times New Roman" w:hAnsi="Times New Roman" w:cs="Times New Roman"/>
                <w:sz w:val="20"/>
                <w:szCs w:val="20"/>
                <w:lang w:val="en-US"/>
              </w:rPr>
            </w:pPr>
            <w:r w:rsidRPr="00B107F1">
              <w:rPr>
                <w:rFonts w:ascii="Times New Roman" w:hAnsi="Times New Roman" w:cs="Times New Roman"/>
                <w:sz w:val="20"/>
                <w:szCs w:val="20"/>
              </w:rPr>
              <w:t>140,000</w:t>
            </w:r>
          </w:p>
        </w:tc>
        <w:tc>
          <w:tcPr>
            <w:tcW w:w="1950" w:type="dxa"/>
            <w:tcBorders>
              <w:top w:val="nil"/>
              <w:left w:val="nil"/>
              <w:bottom w:val="single" w:sz="8" w:space="0" w:color="000000"/>
              <w:right w:val="single" w:sz="8" w:space="0" w:color="auto"/>
            </w:tcBorders>
            <w:shd w:val="clear" w:color="000000" w:fill="E0E0E0"/>
            <w:hideMark/>
          </w:tcPr>
          <w:p w14:paraId="0C38E5A3" w14:textId="093851F1" w:rsidR="00B107F1" w:rsidRPr="00B107F1" w:rsidRDefault="00B107F1" w:rsidP="00B107F1">
            <w:pPr>
              <w:spacing w:after="0" w:line="240" w:lineRule="auto"/>
              <w:jc w:val="right"/>
              <w:rPr>
                <w:rFonts w:ascii="Times New Roman" w:eastAsia="Times New Roman" w:hAnsi="Times New Roman" w:cs="Times New Roman"/>
                <w:sz w:val="20"/>
                <w:szCs w:val="20"/>
                <w:lang w:val="en-US"/>
              </w:rPr>
            </w:pPr>
            <w:r w:rsidRPr="00B107F1">
              <w:rPr>
                <w:rFonts w:ascii="Times New Roman" w:hAnsi="Times New Roman" w:cs="Times New Roman"/>
                <w:sz w:val="20"/>
                <w:szCs w:val="20"/>
              </w:rPr>
              <w:t>140,000</w:t>
            </w:r>
          </w:p>
        </w:tc>
      </w:tr>
      <w:tr w:rsidR="00B107F1" w:rsidRPr="00EB3BFE" w14:paraId="1E8C1FF3" w14:textId="77777777" w:rsidTr="0048665A">
        <w:trPr>
          <w:trHeight w:val="345"/>
        </w:trPr>
        <w:tc>
          <w:tcPr>
            <w:tcW w:w="5093" w:type="dxa"/>
            <w:tcBorders>
              <w:top w:val="nil"/>
              <w:left w:val="single" w:sz="8" w:space="0" w:color="auto"/>
              <w:bottom w:val="single" w:sz="8" w:space="0" w:color="000000"/>
              <w:right w:val="single" w:sz="8" w:space="0" w:color="000000"/>
            </w:tcBorders>
            <w:shd w:val="clear" w:color="auto" w:fill="auto"/>
            <w:hideMark/>
          </w:tcPr>
          <w:p w14:paraId="6FE43C2D" w14:textId="2AB0F554" w:rsidR="00B107F1" w:rsidRPr="00EB3BFE" w:rsidRDefault="00B107F1" w:rsidP="00B107F1">
            <w:pPr>
              <w:spacing w:after="0" w:line="240" w:lineRule="auto"/>
              <w:jc w:val="both"/>
              <w:rPr>
                <w:rFonts w:ascii="Times New Roman" w:eastAsia="Times New Roman" w:hAnsi="Times New Roman" w:cs="Times New Roman"/>
                <w:sz w:val="20"/>
                <w:szCs w:val="20"/>
                <w:lang w:val="en-US"/>
              </w:rPr>
            </w:pPr>
            <w:r w:rsidRPr="00EB3BFE">
              <w:rPr>
                <w:rFonts w:ascii="Times New Roman" w:hAnsi="Times New Roman" w:cs="Times New Roman"/>
                <w:sz w:val="20"/>
                <w:szCs w:val="20"/>
              </w:rPr>
              <w:t>Retained earnings</w:t>
            </w:r>
          </w:p>
        </w:tc>
        <w:tc>
          <w:tcPr>
            <w:tcW w:w="2127" w:type="dxa"/>
            <w:tcBorders>
              <w:top w:val="nil"/>
              <w:left w:val="nil"/>
              <w:bottom w:val="single" w:sz="8" w:space="0" w:color="000000"/>
              <w:right w:val="single" w:sz="8" w:space="0" w:color="000000"/>
            </w:tcBorders>
            <w:shd w:val="clear" w:color="auto" w:fill="auto"/>
            <w:hideMark/>
          </w:tcPr>
          <w:p w14:paraId="21E57E90" w14:textId="4021EACF" w:rsidR="00B107F1" w:rsidRPr="00B107F1" w:rsidRDefault="00E22EA8" w:rsidP="00B107F1">
            <w:pPr>
              <w:spacing w:after="0" w:line="240" w:lineRule="auto"/>
              <w:jc w:val="right"/>
              <w:rPr>
                <w:rFonts w:ascii="Times New Roman" w:eastAsia="Times New Roman" w:hAnsi="Times New Roman" w:cs="Times New Roman"/>
                <w:sz w:val="20"/>
                <w:szCs w:val="20"/>
                <w:lang w:val="en-US"/>
              </w:rPr>
            </w:pPr>
            <w:r w:rsidRPr="00E22EA8">
              <w:rPr>
                <w:rFonts w:ascii="Times New Roman" w:hAnsi="Times New Roman" w:cs="Times New Roman"/>
                <w:sz w:val="20"/>
                <w:szCs w:val="20"/>
              </w:rPr>
              <w:t>267,757</w:t>
            </w:r>
          </w:p>
        </w:tc>
        <w:tc>
          <w:tcPr>
            <w:tcW w:w="1950" w:type="dxa"/>
            <w:tcBorders>
              <w:top w:val="nil"/>
              <w:left w:val="nil"/>
              <w:bottom w:val="single" w:sz="8" w:space="0" w:color="000000"/>
              <w:right w:val="single" w:sz="8" w:space="0" w:color="auto"/>
            </w:tcBorders>
            <w:shd w:val="clear" w:color="000000" w:fill="E0E0E0"/>
            <w:hideMark/>
          </w:tcPr>
          <w:p w14:paraId="7C3529A9" w14:textId="08230D15" w:rsidR="00B107F1" w:rsidRPr="00B107F1" w:rsidRDefault="00E22EA8" w:rsidP="00B107F1">
            <w:pPr>
              <w:spacing w:after="0" w:line="240" w:lineRule="auto"/>
              <w:jc w:val="right"/>
              <w:rPr>
                <w:rFonts w:ascii="Times New Roman" w:eastAsia="Times New Roman" w:hAnsi="Times New Roman" w:cs="Times New Roman"/>
                <w:sz w:val="20"/>
                <w:szCs w:val="20"/>
                <w:lang w:val="en-US"/>
              </w:rPr>
            </w:pPr>
            <w:r w:rsidRPr="00E22EA8">
              <w:rPr>
                <w:rFonts w:ascii="Times New Roman" w:hAnsi="Times New Roman" w:cs="Times New Roman"/>
                <w:sz w:val="20"/>
                <w:szCs w:val="20"/>
              </w:rPr>
              <w:t>267,757</w:t>
            </w:r>
            <w:r w:rsidR="00A0412C">
              <w:rPr>
                <w:rFonts w:ascii="Times New Roman" w:hAnsi="Times New Roman" w:cs="Times New Roman"/>
                <w:sz w:val="20"/>
                <w:szCs w:val="20"/>
              </w:rPr>
              <w:t>c</w:t>
            </w:r>
          </w:p>
        </w:tc>
      </w:tr>
      <w:tr w:rsidR="00B107F1" w:rsidRPr="00EB3BFE" w14:paraId="3517F614" w14:textId="77777777" w:rsidTr="0048665A">
        <w:trPr>
          <w:trHeight w:val="345"/>
        </w:trPr>
        <w:tc>
          <w:tcPr>
            <w:tcW w:w="5093" w:type="dxa"/>
            <w:tcBorders>
              <w:top w:val="nil"/>
              <w:left w:val="single" w:sz="8" w:space="0" w:color="auto"/>
              <w:bottom w:val="single" w:sz="8" w:space="0" w:color="000000"/>
              <w:right w:val="single" w:sz="8" w:space="0" w:color="000000"/>
            </w:tcBorders>
            <w:shd w:val="clear" w:color="auto" w:fill="auto"/>
            <w:hideMark/>
          </w:tcPr>
          <w:p w14:paraId="00B261F5" w14:textId="4F7DA92A" w:rsidR="00B107F1" w:rsidRPr="00EB3BFE" w:rsidRDefault="00B107F1" w:rsidP="00B107F1">
            <w:pPr>
              <w:spacing w:after="0" w:line="240" w:lineRule="auto"/>
              <w:jc w:val="both"/>
              <w:rPr>
                <w:rFonts w:ascii="Times New Roman" w:eastAsia="Times New Roman" w:hAnsi="Times New Roman" w:cs="Times New Roman"/>
                <w:sz w:val="20"/>
                <w:szCs w:val="20"/>
                <w:lang w:val="en-US"/>
              </w:rPr>
            </w:pPr>
            <w:r w:rsidRPr="00EB3BFE">
              <w:rPr>
                <w:rFonts w:ascii="Times New Roman" w:hAnsi="Times New Roman" w:cs="Times New Roman"/>
                <w:sz w:val="20"/>
                <w:szCs w:val="20"/>
              </w:rPr>
              <w:t>Accumulated other comprehensive income</w:t>
            </w:r>
          </w:p>
        </w:tc>
        <w:tc>
          <w:tcPr>
            <w:tcW w:w="2127" w:type="dxa"/>
            <w:tcBorders>
              <w:top w:val="nil"/>
              <w:left w:val="nil"/>
              <w:bottom w:val="single" w:sz="8" w:space="0" w:color="000000"/>
              <w:right w:val="single" w:sz="8" w:space="0" w:color="000000"/>
            </w:tcBorders>
            <w:shd w:val="clear" w:color="auto" w:fill="auto"/>
            <w:hideMark/>
          </w:tcPr>
          <w:p w14:paraId="56649BB7" w14:textId="548BADC7" w:rsidR="00B107F1" w:rsidRPr="00B107F1" w:rsidRDefault="00A0412C" w:rsidP="00B107F1">
            <w:pPr>
              <w:spacing w:after="0" w:line="240" w:lineRule="auto"/>
              <w:jc w:val="right"/>
              <w:rPr>
                <w:rFonts w:ascii="Times New Roman" w:eastAsia="Times New Roman" w:hAnsi="Times New Roman" w:cs="Times New Roman"/>
                <w:sz w:val="20"/>
                <w:szCs w:val="20"/>
                <w:lang w:val="en-US"/>
              </w:rPr>
            </w:pPr>
            <w:r w:rsidRPr="00A0412C">
              <w:rPr>
                <w:rFonts w:ascii="Times New Roman" w:hAnsi="Times New Roman" w:cs="Times New Roman"/>
                <w:sz w:val="20"/>
                <w:szCs w:val="20"/>
              </w:rPr>
              <w:t>36,621</w:t>
            </w:r>
          </w:p>
        </w:tc>
        <w:tc>
          <w:tcPr>
            <w:tcW w:w="1950" w:type="dxa"/>
            <w:tcBorders>
              <w:top w:val="nil"/>
              <w:left w:val="nil"/>
              <w:bottom w:val="single" w:sz="8" w:space="0" w:color="000000"/>
              <w:right w:val="single" w:sz="8" w:space="0" w:color="auto"/>
            </w:tcBorders>
            <w:shd w:val="clear" w:color="000000" w:fill="E0E0E0"/>
            <w:hideMark/>
          </w:tcPr>
          <w:p w14:paraId="6CB69FA9" w14:textId="539F865A" w:rsidR="00B107F1" w:rsidRPr="00B107F1" w:rsidRDefault="00B107F1" w:rsidP="00B107F1">
            <w:pPr>
              <w:spacing w:after="0" w:line="240" w:lineRule="auto"/>
              <w:jc w:val="right"/>
              <w:rPr>
                <w:rFonts w:ascii="Times New Roman" w:eastAsia="Times New Roman" w:hAnsi="Times New Roman" w:cs="Times New Roman"/>
                <w:sz w:val="20"/>
                <w:szCs w:val="20"/>
                <w:lang w:val="en-US"/>
              </w:rPr>
            </w:pPr>
            <w:r w:rsidRPr="00B107F1">
              <w:rPr>
                <w:rFonts w:ascii="Times New Roman" w:hAnsi="Times New Roman" w:cs="Times New Roman"/>
                <w:sz w:val="20"/>
                <w:szCs w:val="20"/>
              </w:rPr>
              <w:t xml:space="preserve"> </w:t>
            </w:r>
            <w:r w:rsidR="00D95F6F" w:rsidRPr="00D95F6F">
              <w:rPr>
                <w:rFonts w:ascii="Times New Roman" w:hAnsi="Times New Roman" w:cs="Times New Roman"/>
                <w:sz w:val="20"/>
                <w:szCs w:val="20"/>
              </w:rPr>
              <w:t xml:space="preserve"> </w:t>
            </w:r>
            <w:r w:rsidR="00A0412C" w:rsidRPr="00A0412C">
              <w:rPr>
                <w:rFonts w:ascii="Times New Roman" w:hAnsi="Times New Roman" w:cs="Times New Roman"/>
                <w:sz w:val="20"/>
                <w:szCs w:val="20"/>
              </w:rPr>
              <w:t xml:space="preserve"> 36,621</w:t>
            </w:r>
          </w:p>
        </w:tc>
      </w:tr>
      <w:tr w:rsidR="00B107F1" w:rsidRPr="00EB3BFE" w14:paraId="685582AA" w14:textId="77777777" w:rsidTr="0048665A">
        <w:trPr>
          <w:trHeight w:val="345"/>
        </w:trPr>
        <w:tc>
          <w:tcPr>
            <w:tcW w:w="5093" w:type="dxa"/>
            <w:tcBorders>
              <w:top w:val="nil"/>
              <w:left w:val="single" w:sz="8" w:space="0" w:color="auto"/>
              <w:bottom w:val="single" w:sz="8" w:space="0" w:color="auto"/>
              <w:right w:val="single" w:sz="8" w:space="0" w:color="000000"/>
            </w:tcBorders>
            <w:shd w:val="clear" w:color="auto" w:fill="auto"/>
            <w:hideMark/>
          </w:tcPr>
          <w:p w14:paraId="73483574" w14:textId="38172D26" w:rsidR="00B107F1" w:rsidRPr="00EB3BFE" w:rsidRDefault="00B107F1" w:rsidP="00B107F1">
            <w:pPr>
              <w:spacing w:after="0" w:line="240" w:lineRule="auto"/>
              <w:jc w:val="both"/>
              <w:rPr>
                <w:rFonts w:ascii="Times New Roman" w:eastAsia="Times New Roman" w:hAnsi="Times New Roman" w:cs="Times New Roman"/>
                <w:b/>
                <w:bCs/>
                <w:sz w:val="20"/>
                <w:szCs w:val="20"/>
                <w:lang w:val="en-US"/>
              </w:rPr>
            </w:pPr>
            <w:r w:rsidRPr="00EB3BFE">
              <w:rPr>
                <w:rFonts w:ascii="Times New Roman" w:hAnsi="Times New Roman" w:cs="Times New Roman"/>
                <w:b/>
                <w:bCs/>
                <w:sz w:val="20"/>
                <w:szCs w:val="20"/>
              </w:rPr>
              <w:t>Total shareholders' equity</w:t>
            </w:r>
          </w:p>
        </w:tc>
        <w:tc>
          <w:tcPr>
            <w:tcW w:w="2127" w:type="dxa"/>
            <w:tcBorders>
              <w:top w:val="nil"/>
              <w:left w:val="nil"/>
              <w:bottom w:val="single" w:sz="8" w:space="0" w:color="auto"/>
              <w:right w:val="single" w:sz="8" w:space="0" w:color="000000"/>
            </w:tcBorders>
            <w:shd w:val="clear" w:color="auto" w:fill="auto"/>
            <w:hideMark/>
          </w:tcPr>
          <w:p w14:paraId="34379B54" w14:textId="7039E648" w:rsidR="00B107F1" w:rsidRPr="00B107F1" w:rsidRDefault="00A0412C" w:rsidP="00B107F1">
            <w:pPr>
              <w:spacing w:after="0" w:line="240" w:lineRule="auto"/>
              <w:jc w:val="right"/>
              <w:rPr>
                <w:rFonts w:ascii="Times New Roman" w:eastAsia="Times New Roman" w:hAnsi="Times New Roman" w:cs="Times New Roman"/>
                <w:b/>
                <w:bCs/>
                <w:sz w:val="20"/>
                <w:szCs w:val="20"/>
                <w:lang w:val="en-US"/>
              </w:rPr>
            </w:pPr>
            <w:r w:rsidRPr="00A0412C">
              <w:rPr>
                <w:rFonts w:ascii="Times New Roman" w:hAnsi="Times New Roman" w:cs="Times New Roman"/>
                <w:b/>
                <w:bCs/>
                <w:sz w:val="20"/>
                <w:szCs w:val="20"/>
              </w:rPr>
              <w:t>444,377</w:t>
            </w:r>
          </w:p>
        </w:tc>
        <w:tc>
          <w:tcPr>
            <w:tcW w:w="1950" w:type="dxa"/>
            <w:tcBorders>
              <w:top w:val="nil"/>
              <w:left w:val="nil"/>
              <w:bottom w:val="single" w:sz="8" w:space="0" w:color="auto"/>
              <w:right w:val="single" w:sz="8" w:space="0" w:color="000000"/>
            </w:tcBorders>
            <w:shd w:val="clear" w:color="auto" w:fill="auto"/>
            <w:hideMark/>
          </w:tcPr>
          <w:p w14:paraId="544EA67A" w14:textId="78444540" w:rsidR="00B107F1" w:rsidRPr="00B107F1" w:rsidRDefault="00A0412C" w:rsidP="00B107F1">
            <w:pPr>
              <w:spacing w:after="0" w:line="240" w:lineRule="auto"/>
              <w:jc w:val="right"/>
              <w:rPr>
                <w:rFonts w:ascii="Times New Roman" w:eastAsia="Times New Roman" w:hAnsi="Times New Roman" w:cs="Times New Roman"/>
                <w:b/>
                <w:bCs/>
                <w:sz w:val="20"/>
                <w:szCs w:val="20"/>
                <w:lang w:val="en-US"/>
              </w:rPr>
            </w:pPr>
            <w:r w:rsidRPr="00A0412C">
              <w:rPr>
                <w:rFonts w:ascii="Times New Roman" w:hAnsi="Times New Roman" w:cs="Times New Roman"/>
                <w:b/>
                <w:bCs/>
                <w:sz w:val="20"/>
                <w:szCs w:val="20"/>
              </w:rPr>
              <w:t>444,377</w:t>
            </w:r>
          </w:p>
        </w:tc>
      </w:tr>
    </w:tbl>
    <w:p w14:paraId="3382A6A0" w14:textId="77777777" w:rsidR="00932BE8" w:rsidRPr="00EB3BFE" w:rsidRDefault="00932BE8" w:rsidP="00F8167B">
      <w:pPr>
        <w:rPr>
          <w:rFonts w:ascii="Times New Roman" w:hAnsi="Times New Roman" w:cs="Times New Roman"/>
          <w:i/>
          <w:sz w:val="20"/>
          <w:szCs w:val="20"/>
        </w:rPr>
      </w:pPr>
    </w:p>
    <w:p w14:paraId="363F0D0F" w14:textId="4FD71C6F" w:rsidR="007A55B1" w:rsidRPr="00EB3BFE" w:rsidRDefault="00B57589" w:rsidP="00F8167B">
      <w:pPr>
        <w:rPr>
          <w:rFonts w:ascii="Times New Roman" w:hAnsi="Times New Roman" w:cs="Times New Roman"/>
          <w:i/>
          <w:sz w:val="20"/>
          <w:szCs w:val="20"/>
        </w:rPr>
      </w:pPr>
      <w:r w:rsidRPr="00EB3BFE">
        <w:rPr>
          <w:rFonts w:ascii="Times New Roman" w:hAnsi="Times New Roman" w:cs="Times New Roman"/>
          <w:i/>
          <w:sz w:val="20"/>
          <w:szCs w:val="20"/>
        </w:rPr>
        <w:t>There i</w:t>
      </w:r>
      <w:r w:rsidR="007A55B1" w:rsidRPr="00EB3BFE">
        <w:rPr>
          <w:rFonts w:ascii="Times New Roman" w:hAnsi="Times New Roman" w:cs="Times New Roman"/>
          <w:i/>
          <w:sz w:val="20"/>
          <w:szCs w:val="20"/>
        </w:rPr>
        <w:t xml:space="preserve">s no difference between regulatory and IFRS publication for </w:t>
      </w:r>
      <w:r w:rsidR="009F6C3B" w:rsidRPr="00EB3BFE">
        <w:rPr>
          <w:rFonts w:ascii="Times New Roman" w:hAnsi="Times New Roman" w:cs="Times New Roman"/>
          <w:i/>
          <w:sz w:val="20"/>
          <w:szCs w:val="20"/>
        </w:rPr>
        <w:t>First Capital</w:t>
      </w:r>
      <w:r w:rsidR="00186289" w:rsidRPr="00EB3BFE">
        <w:rPr>
          <w:rFonts w:ascii="Times New Roman" w:hAnsi="Times New Roman" w:cs="Times New Roman"/>
          <w:i/>
          <w:sz w:val="20"/>
          <w:szCs w:val="20"/>
        </w:rPr>
        <w:t xml:space="preserve"> Bank Limited</w:t>
      </w:r>
    </w:p>
    <w:p w14:paraId="67CA9479" w14:textId="77777777" w:rsidR="00B3686E" w:rsidRPr="00EB3BFE" w:rsidRDefault="00B3686E" w:rsidP="00F8167B">
      <w:pPr>
        <w:widowControl w:val="0"/>
        <w:autoSpaceDE w:val="0"/>
        <w:autoSpaceDN w:val="0"/>
        <w:adjustRightInd w:val="0"/>
        <w:rPr>
          <w:rStyle w:val="A5"/>
          <w:rFonts w:ascii="Times New Roman" w:hAnsi="Times New Roman" w:cs="Times New Roman"/>
          <w:sz w:val="20"/>
          <w:szCs w:val="20"/>
        </w:rPr>
      </w:pPr>
    </w:p>
    <w:p w14:paraId="05052B51" w14:textId="6773FD55" w:rsidR="00253DDE" w:rsidRPr="00EB3BFE" w:rsidRDefault="00253DDE" w:rsidP="00F8167B">
      <w:pPr>
        <w:widowControl w:val="0"/>
        <w:autoSpaceDE w:val="0"/>
        <w:autoSpaceDN w:val="0"/>
        <w:adjustRightInd w:val="0"/>
        <w:rPr>
          <w:rFonts w:ascii="Times New Roman" w:hAnsi="Times New Roman" w:cs="Times New Roman"/>
          <w:b/>
          <w:sz w:val="20"/>
          <w:szCs w:val="20"/>
        </w:rPr>
      </w:pPr>
      <w:r w:rsidRPr="00EB3BFE">
        <w:rPr>
          <w:rStyle w:val="A5"/>
          <w:rFonts w:ascii="Times New Roman" w:hAnsi="Times New Roman" w:cs="Times New Roman"/>
          <w:sz w:val="20"/>
          <w:szCs w:val="20"/>
        </w:rPr>
        <w:t xml:space="preserve"> </w:t>
      </w:r>
      <w:r w:rsidRPr="00EB3BFE">
        <w:rPr>
          <w:rStyle w:val="A5"/>
          <w:rFonts w:ascii="Times New Roman" w:hAnsi="Times New Roman" w:cs="Times New Roman"/>
          <w:b/>
          <w:sz w:val="20"/>
          <w:szCs w:val="20"/>
        </w:rPr>
        <w:t xml:space="preserve">Table 26: </w:t>
      </w:r>
      <w:r w:rsidRPr="00EB3BFE">
        <w:rPr>
          <w:rFonts w:ascii="Times New Roman" w:hAnsi="Times New Roman" w:cs="Times New Roman"/>
          <w:b/>
          <w:sz w:val="20"/>
          <w:szCs w:val="20"/>
        </w:rPr>
        <w:t>Expanded Regulatory Balance Sheet</w:t>
      </w:r>
    </w:p>
    <w:tbl>
      <w:tblPr>
        <w:tblStyle w:val="TableGrid"/>
        <w:tblW w:w="9175" w:type="dxa"/>
        <w:tblLook w:val="04A0" w:firstRow="1" w:lastRow="0" w:firstColumn="1" w:lastColumn="0" w:noHBand="0" w:noVBand="1"/>
      </w:tblPr>
      <w:tblGrid>
        <w:gridCol w:w="4118"/>
        <w:gridCol w:w="1973"/>
        <w:gridCol w:w="2013"/>
        <w:gridCol w:w="1071"/>
      </w:tblGrid>
      <w:tr w:rsidR="004A096A" w:rsidRPr="00EB3BFE" w14:paraId="131884CE" w14:textId="77777777" w:rsidTr="00687A2D">
        <w:trPr>
          <w:trHeight w:val="322"/>
        </w:trPr>
        <w:tc>
          <w:tcPr>
            <w:tcW w:w="4118" w:type="dxa"/>
            <w:vMerge w:val="restart"/>
            <w:shd w:val="clear" w:color="auto" w:fill="92D050"/>
            <w:hideMark/>
          </w:tcPr>
          <w:p w14:paraId="2A716174" w14:textId="77777777" w:rsidR="004A096A" w:rsidRPr="00EB3BFE" w:rsidRDefault="004A096A" w:rsidP="004A096A">
            <w:pPr>
              <w:rPr>
                <w:rFonts w:ascii="Times New Roman" w:hAnsi="Times New Roman" w:cs="Times New Roman"/>
                <w:b/>
                <w:sz w:val="20"/>
                <w:szCs w:val="20"/>
              </w:rPr>
            </w:pPr>
            <w:r w:rsidRPr="00EB3BFE">
              <w:rPr>
                <w:rFonts w:ascii="Times New Roman" w:hAnsi="Times New Roman" w:cs="Times New Roman"/>
                <w:sz w:val="20"/>
                <w:szCs w:val="20"/>
              </w:rPr>
              <w:t xml:space="preserve">  </w:t>
            </w:r>
          </w:p>
          <w:p w14:paraId="799EB266" w14:textId="38BFA032" w:rsidR="004A096A" w:rsidRPr="00EB3BFE" w:rsidRDefault="004A096A" w:rsidP="004A096A">
            <w:pPr>
              <w:rPr>
                <w:rFonts w:ascii="Times New Roman" w:hAnsi="Times New Roman" w:cs="Times New Roman"/>
                <w:b/>
                <w:sz w:val="20"/>
                <w:szCs w:val="20"/>
              </w:rPr>
            </w:pPr>
          </w:p>
        </w:tc>
        <w:tc>
          <w:tcPr>
            <w:tcW w:w="1973" w:type="dxa"/>
            <w:vMerge w:val="restart"/>
            <w:shd w:val="clear" w:color="auto" w:fill="92D050"/>
            <w:hideMark/>
          </w:tcPr>
          <w:p w14:paraId="53790192" w14:textId="77777777" w:rsidR="004A096A" w:rsidRPr="00EB3BFE" w:rsidRDefault="004A096A" w:rsidP="004A096A">
            <w:pPr>
              <w:rPr>
                <w:rFonts w:ascii="Times New Roman" w:hAnsi="Times New Roman" w:cs="Times New Roman"/>
                <w:b/>
                <w:bCs/>
                <w:sz w:val="20"/>
                <w:szCs w:val="20"/>
              </w:rPr>
            </w:pPr>
            <w:r w:rsidRPr="00EB3BFE">
              <w:rPr>
                <w:rFonts w:ascii="Times New Roman" w:hAnsi="Times New Roman" w:cs="Times New Roman"/>
                <w:b/>
                <w:bCs/>
                <w:sz w:val="20"/>
                <w:szCs w:val="20"/>
              </w:rPr>
              <w:t>Balance sheet as in published financial statements</w:t>
            </w:r>
          </w:p>
          <w:p w14:paraId="194B9E5A" w14:textId="5AB456F6" w:rsidR="004A096A" w:rsidRPr="00EB3BFE" w:rsidRDefault="004A096A" w:rsidP="004A096A">
            <w:pPr>
              <w:rPr>
                <w:rFonts w:ascii="Times New Roman" w:hAnsi="Times New Roman" w:cs="Times New Roman"/>
                <w:b/>
                <w:bCs/>
                <w:sz w:val="20"/>
                <w:szCs w:val="20"/>
              </w:rPr>
            </w:pPr>
          </w:p>
        </w:tc>
        <w:tc>
          <w:tcPr>
            <w:tcW w:w="2013" w:type="dxa"/>
            <w:vMerge w:val="restart"/>
            <w:shd w:val="clear" w:color="auto" w:fill="92D050"/>
            <w:hideMark/>
          </w:tcPr>
          <w:p w14:paraId="3BC27472" w14:textId="77777777" w:rsidR="004A096A" w:rsidRPr="00EB3BFE" w:rsidRDefault="004A096A" w:rsidP="004A096A">
            <w:pPr>
              <w:rPr>
                <w:rFonts w:ascii="Times New Roman" w:hAnsi="Times New Roman" w:cs="Times New Roman"/>
                <w:b/>
                <w:bCs/>
                <w:sz w:val="20"/>
                <w:szCs w:val="20"/>
              </w:rPr>
            </w:pPr>
            <w:r w:rsidRPr="00EB3BFE">
              <w:rPr>
                <w:rFonts w:ascii="Times New Roman" w:hAnsi="Times New Roman" w:cs="Times New Roman"/>
                <w:b/>
                <w:bCs/>
                <w:sz w:val="20"/>
                <w:szCs w:val="20"/>
              </w:rPr>
              <w:t xml:space="preserve"> Under regulatory scope of consolidation</w:t>
            </w:r>
          </w:p>
          <w:p w14:paraId="694E810F" w14:textId="643E0E96" w:rsidR="004A096A" w:rsidRPr="00EB3BFE" w:rsidRDefault="004A096A" w:rsidP="004A096A">
            <w:pPr>
              <w:rPr>
                <w:rFonts w:ascii="Times New Roman" w:hAnsi="Times New Roman" w:cs="Times New Roman"/>
                <w:b/>
                <w:bCs/>
                <w:sz w:val="20"/>
                <w:szCs w:val="20"/>
              </w:rPr>
            </w:pPr>
          </w:p>
        </w:tc>
        <w:tc>
          <w:tcPr>
            <w:tcW w:w="1071" w:type="dxa"/>
            <w:shd w:val="clear" w:color="auto" w:fill="92D050"/>
            <w:hideMark/>
          </w:tcPr>
          <w:p w14:paraId="03BA09D9" w14:textId="77777777" w:rsidR="004A096A" w:rsidRPr="00EB3BFE" w:rsidRDefault="004A096A" w:rsidP="004A096A">
            <w:pPr>
              <w:rPr>
                <w:rFonts w:ascii="Times New Roman" w:hAnsi="Times New Roman" w:cs="Times New Roman"/>
                <w:b/>
                <w:bCs/>
                <w:sz w:val="20"/>
                <w:szCs w:val="20"/>
              </w:rPr>
            </w:pPr>
          </w:p>
        </w:tc>
      </w:tr>
      <w:tr w:rsidR="004A096A" w:rsidRPr="00EB3BFE" w14:paraId="09B21DCA" w14:textId="77777777" w:rsidTr="00687A2D">
        <w:trPr>
          <w:trHeight w:val="322"/>
        </w:trPr>
        <w:tc>
          <w:tcPr>
            <w:tcW w:w="4118" w:type="dxa"/>
            <w:vMerge/>
            <w:shd w:val="clear" w:color="auto" w:fill="92D050"/>
            <w:hideMark/>
          </w:tcPr>
          <w:p w14:paraId="2EAB8471" w14:textId="77777777" w:rsidR="004A096A" w:rsidRPr="00EB3BFE" w:rsidRDefault="004A096A" w:rsidP="004A096A">
            <w:pPr>
              <w:widowControl w:val="0"/>
              <w:autoSpaceDE w:val="0"/>
              <w:autoSpaceDN w:val="0"/>
              <w:adjustRightInd w:val="0"/>
              <w:rPr>
                <w:rFonts w:ascii="Times New Roman" w:hAnsi="Times New Roman" w:cs="Times New Roman"/>
                <w:b/>
                <w:bCs/>
                <w:sz w:val="20"/>
                <w:szCs w:val="20"/>
              </w:rPr>
            </w:pPr>
          </w:p>
        </w:tc>
        <w:tc>
          <w:tcPr>
            <w:tcW w:w="1973" w:type="dxa"/>
            <w:vMerge/>
            <w:shd w:val="clear" w:color="auto" w:fill="92D050"/>
            <w:hideMark/>
          </w:tcPr>
          <w:p w14:paraId="05049FF9" w14:textId="77777777" w:rsidR="004A096A" w:rsidRPr="00EB3BFE" w:rsidRDefault="004A096A" w:rsidP="004A096A">
            <w:pPr>
              <w:widowControl w:val="0"/>
              <w:autoSpaceDE w:val="0"/>
              <w:autoSpaceDN w:val="0"/>
              <w:adjustRightInd w:val="0"/>
              <w:rPr>
                <w:rFonts w:ascii="Times New Roman" w:hAnsi="Times New Roman" w:cs="Times New Roman"/>
                <w:b/>
                <w:bCs/>
                <w:sz w:val="20"/>
                <w:szCs w:val="20"/>
              </w:rPr>
            </w:pPr>
          </w:p>
        </w:tc>
        <w:tc>
          <w:tcPr>
            <w:tcW w:w="2013" w:type="dxa"/>
            <w:vMerge/>
            <w:shd w:val="clear" w:color="auto" w:fill="92D050"/>
            <w:hideMark/>
          </w:tcPr>
          <w:p w14:paraId="1D79BA6C" w14:textId="77777777" w:rsidR="004A096A" w:rsidRPr="00EB3BFE" w:rsidRDefault="004A096A" w:rsidP="004A096A">
            <w:pPr>
              <w:widowControl w:val="0"/>
              <w:autoSpaceDE w:val="0"/>
              <w:autoSpaceDN w:val="0"/>
              <w:adjustRightInd w:val="0"/>
              <w:rPr>
                <w:rFonts w:ascii="Times New Roman" w:hAnsi="Times New Roman" w:cs="Times New Roman"/>
                <w:b/>
                <w:bCs/>
                <w:sz w:val="20"/>
                <w:szCs w:val="20"/>
              </w:rPr>
            </w:pPr>
          </w:p>
        </w:tc>
        <w:tc>
          <w:tcPr>
            <w:tcW w:w="1071" w:type="dxa"/>
            <w:shd w:val="clear" w:color="auto" w:fill="92D050"/>
            <w:hideMark/>
          </w:tcPr>
          <w:p w14:paraId="61F18617" w14:textId="77777777" w:rsidR="004A096A" w:rsidRPr="00EB3BFE" w:rsidRDefault="004A096A" w:rsidP="004A096A">
            <w:pPr>
              <w:widowControl w:val="0"/>
              <w:autoSpaceDE w:val="0"/>
              <w:autoSpaceDN w:val="0"/>
              <w:adjustRightInd w:val="0"/>
              <w:rPr>
                <w:rFonts w:ascii="Times New Roman" w:hAnsi="Times New Roman" w:cs="Times New Roman"/>
                <w:b/>
                <w:bCs/>
                <w:sz w:val="20"/>
                <w:szCs w:val="20"/>
              </w:rPr>
            </w:pPr>
          </w:p>
        </w:tc>
      </w:tr>
      <w:tr w:rsidR="004A096A" w:rsidRPr="00EB3BFE" w14:paraId="209771DB" w14:textId="77777777" w:rsidTr="00687A2D">
        <w:trPr>
          <w:trHeight w:val="335"/>
        </w:trPr>
        <w:tc>
          <w:tcPr>
            <w:tcW w:w="4118" w:type="dxa"/>
            <w:vMerge/>
            <w:shd w:val="clear" w:color="auto" w:fill="92D050"/>
            <w:hideMark/>
          </w:tcPr>
          <w:p w14:paraId="112D8469" w14:textId="77777777" w:rsidR="004A096A" w:rsidRPr="00EB3BFE" w:rsidRDefault="004A096A" w:rsidP="004A096A">
            <w:pPr>
              <w:widowControl w:val="0"/>
              <w:autoSpaceDE w:val="0"/>
              <w:autoSpaceDN w:val="0"/>
              <w:adjustRightInd w:val="0"/>
              <w:rPr>
                <w:rFonts w:ascii="Times New Roman" w:hAnsi="Times New Roman" w:cs="Times New Roman"/>
                <w:b/>
                <w:bCs/>
                <w:sz w:val="20"/>
                <w:szCs w:val="20"/>
              </w:rPr>
            </w:pPr>
          </w:p>
        </w:tc>
        <w:tc>
          <w:tcPr>
            <w:tcW w:w="1973" w:type="dxa"/>
            <w:vMerge/>
            <w:shd w:val="clear" w:color="auto" w:fill="92D050"/>
            <w:hideMark/>
          </w:tcPr>
          <w:p w14:paraId="1A3D6233" w14:textId="77777777" w:rsidR="004A096A" w:rsidRPr="00EB3BFE" w:rsidRDefault="004A096A" w:rsidP="004A096A">
            <w:pPr>
              <w:widowControl w:val="0"/>
              <w:autoSpaceDE w:val="0"/>
              <w:autoSpaceDN w:val="0"/>
              <w:adjustRightInd w:val="0"/>
              <w:rPr>
                <w:rFonts w:ascii="Times New Roman" w:hAnsi="Times New Roman" w:cs="Times New Roman"/>
                <w:b/>
                <w:bCs/>
                <w:sz w:val="20"/>
                <w:szCs w:val="20"/>
              </w:rPr>
            </w:pPr>
          </w:p>
        </w:tc>
        <w:tc>
          <w:tcPr>
            <w:tcW w:w="2013" w:type="dxa"/>
            <w:vMerge/>
            <w:shd w:val="clear" w:color="auto" w:fill="92D050"/>
            <w:hideMark/>
          </w:tcPr>
          <w:p w14:paraId="3FECFEE4" w14:textId="77777777" w:rsidR="004A096A" w:rsidRPr="00EB3BFE" w:rsidRDefault="004A096A" w:rsidP="004A096A">
            <w:pPr>
              <w:widowControl w:val="0"/>
              <w:autoSpaceDE w:val="0"/>
              <w:autoSpaceDN w:val="0"/>
              <w:adjustRightInd w:val="0"/>
              <w:rPr>
                <w:rFonts w:ascii="Times New Roman" w:hAnsi="Times New Roman" w:cs="Times New Roman"/>
                <w:b/>
                <w:bCs/>
                <w:sz w:val="20"/>
                <w:szCs w:val="20"/>
              </w:rPr>
            </w:pPr>
          </w:p>
        </w:tc>
        <w:tc>
          <w:tcPr>
            <w:tcW w:w="1071" w:type="dxa"/>
            <w:shd w:val="clear" w:color="auto" w:fill="92D050"/>
            <w:hideMark/>
          </w:tcPr>
          <w:p w14:paraId="01FB4BCC" w14:textId="6F87A1D9" w:rsidR="004A096A" w:rsidRPr="00EB3BFE" w:rsidRDefault="004A096A" w:rsidP="004A096A">
            <w:pPr>
              <w:widowControl w:val="0"/>
              <w:autoSpaceDE w:val="0"/>
              <w:autoSpaceDN w:val="0"/>
              <w:adjustRightInd w:val="0"/>
              <w:rPr>
                <w:rFonts w:ascii="Times New Roman" w:hAnsi="Times New Roman" w:cs="Times New Roman"/>
                <w:b/>
                <w:bCs/>
                <w:sz w:val="20"/>
                <w:szCs w:val="20"/>
              </w:rPr>
            </w:pPr>
            <w:r w:rsidRPr="00EB3BFE">
              <w:rPr>
                <w:rFonts w:ascii="Times New Roman" w:hAnsi="Times New Roman" w:cs="Times New Roman"/>
                <w:b/>
                <w:bCs/>
                <w:sz w:val="20"/>
                <w:szCs w:val="20"/>
              </w:rPr>
              <w:t>Reference</w:t>
            </w:r>
          </w:p>
        </w:tc>
      </w:tr>
      <w:tr w:rsidR="004A096A" w:rsidRPr="00EB3BFE" w14:paraId="202A673D" w14:textId="77777777" w:rsidTr="00687A2D">
        <w:trPr>
          <w:trHeight w:val="335"/>
        </w:trPr>
        <w:tc>
          <w:tcPr>
            <w:tcW w:w="4118" w:type="dxa"/>
            <w:shd w:val="clear" w:color="auto" w:fill="92D050"/>
            <w:hideMark/>
          </w:tcPr>
          <w:p w14:paraId="6CF7A07F" w14:textId="77777777" w:rsidR="004A096A" w:rsidRPr="00EB3BFE" w:rsidRDefault="004A096A" w:rsidP="004A096A">
            <w:pPr>
              <w:rPr>
                <w:rFonts w:ascii="Times New Roman" w:hAnsi="Times New Roman" w:cs="Times New Roman"/>
                <w:b/>
                <w:sz w:val="20"/>
                <w:szCs w:val="20"/>
              </w:rPr>
            </w:pPr>
          </w:p>
        </w:tc>
        <w:tc>
          <w:tcPr>
            <w:tcW w:w="1973" w:type="dxa"/>
            <w:shd w:val="clear" w:color="auto" w:fill="92D050"/>
            <w:hideMark/>
          </w:tcPr>
          <w:p w14:paraId="72D512FB" w14:textId="7B655FEE" w:rsidR="004A096A" w:rsidRPr="000813A6" w:rsidRDefault="004A096A" w:rsidP="004A096A">
            <w:pPr>
              <w:rPr>
                <w:rFonts w:ascii="Times New Roman" w:hAnsi="Times New Roman" w:cs="Times New Roman"/>
                <w:b/>
                <w:bCs/>
                <w:sz w:val="20"/>
                <w:szCs w:val="20"/>
              </w:rPr>
            </w:pPr>
            <w:r w:rsidRPr="000813A6">
              <w:rPr>
                <w:rFonts w:ascii="Times New Roman" w:hAnsi="Times New Roman" w:cs="Times New Roman"/>
                <w:b/>
                <w:bCs/>
                <w:sz w:val="20"/>
                <w:szCs w:val="20"/>
              </w:rPr>
              <w:t>As at period end</w:t>
            </w:r>
            <w:r w:rsidR="004024E0" w:rsidRPr="000813A6">
              <w:rPr>
                <w:rFonts w:ascii="Times New Roman" w:hAnsi="Times New Roman" w:cs="Times New Roman"/>
                <w:b/>
                <w:bCs/>
                <w:sz w:val="20"/>
                <w:szCs w:val="20"/>
              </w:rPr>
              <w:t xml:space="preserve"> </w:t>
            </w:r>
            <w:r w:rsidR="00B107F1">
              <w:rPr>
                <w:rFonts w:ascii="Times New Roman" w:hAnsi="Times New Roman" w:cs="Times New Roman"/>
                <w:b/>
                <w:bCs/>
                <w:sz w:val="20"/>
                <w:szCs w:val="20"/>
              </w:rPr>
              <w:t>3</w:t>
            </w:r>
            <w:r w:rsidR="004907A8">
              <w:rPr>
                <w:rFonts w:ascii="Times New Roman" w:hAnsi="Times New Roman" w:cs="Times New Roman"/>
                <w:b/>
                <w:bCs/>
                <w:sz w:val="20"/>
                <w:szCs w:val="20"/>
              </w:rPr>
              <w:t xml:space="preserve">1 </w:t>
            </w:r>
            <w:r w:rsidR="00A0412C">
              <w:rPr>
                <w:rFonts w:ascii="Times New Roman" w:hAnsi="Times New Roman" w:cs="Times New Roman"/>
                <w:b/>
                <w:bCs/>
                <w:sz w:val="20"/>
                <w:szCs w:val="20"/>
              </w:rPr>
              <w:t>March</w:t>
            </w:r>
            <w:r w:rsidR="005C377E">
              <w:rPr>
                <w:rFonts w:ascii="Times New Roman" w:hAnsi="Times New Roman" w:cs="Times New Roman"/>
                <w:b/>
                <w:bCs/>
                <w:sz w:val="20"/>
                <w:szCs w:val="20"/>
              </w:rPr>
              <w:t xml:space="preserve"> 202</w:t>
            </w:r>
            <w:r w:rsidR="00A0412C">
              <w:rPr>
                <w:rFonts w:ascii="Times New Roman" w:hAnsi="Times New Roman" w:cs="Times New Roman"/>
                <w:b/>
                <w:bCs/>
                <w:sz w:val="20"/>
                <w:szCs w:val="20"/>
              </w:rPr>
              <w:t>2</w:t>
            </w:r>
            <w:r w:rsidR="00687A2D">
              <w:rPr>
                <w:rFonts w:ascii="Times New Roman" w:hAnsi="Times New Roman" w:cs="Times New Roman"/>
                <w:b/>
                <w:bCs/>
                <w:sz w:val="20"/>
                <w:szCs w:val="20"/>
              </w:rPr>
              <w:t xml:space="preserve"> (P’000)</w:t>
            </w:r>
          </w:p>
        </w:tc>
        <w:tc>
          <w:tcPr>
            <w:tcW w:w="2013" w:type="dxa"/>
            <w:shd w:val="clear" w:color="auto" w:fill="92D050"/>
            <w:hideMark/>
          </w:tcPr>
          <w:p w14:paraId="73462848" w14:textId="11792A16" w:rsidR="004A096A" w:rsidRPr="005B5130" w:rsidRDefault="00B107F1" w:rsidP="004A096A">
            <w:pPr>
              <w:rPr>
                <w:rFonts w:ascii="Times New Roman" w:hAnsi="Times New Roman" w:cs="Times New Roman"/>
                <w:b/>
                <w:bCs/>
                <w:sz w:val="20"/>
                <w:szCs w:val="20"/>
              </w:rPr>
            </w:pPr>
            <w:r w:rsidRPr="000813A6">
              <w:rPr>
                <w:rFonts w:ascii="Times New Roman" w:hAnsi="Times New Roman" w:cs="Times New Roman"/>
                <w:b/>
                <w:bCs/>
                <w:sz w:val="20"/>
                <w:szCs w:val="20"/>
              </w:rPr>
              <w:t xml:space="preserve">As at period end </w:t>
            </w:r>
            <w:r>
              <w:rPr>
                <w:rFonts w:ascii="Times New Roman" w:hAnsi="Times New Roman" w:cs="Times New Roman"/>
                <w:b/>
                <w:bCs/>
                <w:sz w:val="20"/>
                <w:szCs w:val="20"/>
              </w:rPr>
              <w:t>3</w:t>
            </w:r>
            <w:r w:rsidR="004907A8">
              <w:rPr>
                <w:rFonts w:ascii="Times New Roman" w:hAnsi="Times New Roman" w:cs="Times New Roman"/>
                <w:b/>
                <w:bCs/>
                <w:sz w:val="20"/>
                <w:szCs w:val="20"/>
              </w:rPr>
              <w:t>1</w:t>
            </w:r>
            <w:r>
              <w:rPr>
                <w:rFonts w:ascii="Times New Roman" w:hAnsi="Times New Roman" w:cs="Times New Roman"/>
                <w:b/>
                <w:bCs/>
                <w:sz w:val="20"/>
                <w:szCs w:val="20"/>
              </w:rPr>
              <w:t xml:space="preserve"> </w:t>
            </w:r>
            <w:r w:rsidR="00A0412C">
              <w:rPr>
                <w:rFonts w:ascii="Times New Roman" w:hAnsi="Times New Roman" w:cs="Times New Roman"/>
                <w:b/>
                <w:bCs/>
                <w:sz w:val="20"/>
                <w:szCs w:val="20"/>
              </w:rPr>
              <w:t>March</w:t>
            </w:r>
            <w:r w:rsidR="005C377E">
              <w:rPr>
                <w:rFonts w:ascii="Times New Roman" w:hAnsi="Times New Roman" w:cs="Times New Roman"/>
                <w:b/>
                <w:bCs/>
                <w:sz w:val="20"/>
                <w:szCs w:val="20"/>
              </w:rPr>
              <w:t xml:space="preserve"> 202</w:t>
            </w:r>
            <w:r w:rsidR="00A0412C">
              <w:rPr>
                <w:rFonts w:ascii="Times New Roman" w:hAnsi="Times New Roman" w:cs="Times New Roman"/>
                <w:b/>
                <w:bCs/>
                <w:sz w:val="20"/>
                <w:szCs w:val="20"/>
              </w:rPr>
              <w:t>2</w:t>
            </w:r>
            <w:r w:rsidR="00687A2D">
              <w:rPr>
                <w:rFonts w:ascii="Times New Roman" w:hAnsi="Times New Roman" w:cs="Times New Roman"/>
                <w:b/>
                <w:bCs/>
                <w:sz w:val="20"/>
                <w:szCs w:val="20"/>
              </w:rPr>
              <w:t xml:space="preserve"> (P’000)</w:t>
            </w:r>
          </w:p>
        </w:tc>
        <w:tc>
          <w:tcPr>
            <w:tcW w:w="1071" w:type="dxa"/>
            <w:shd w:val="clear" w:color="auto" w:fill="92D050"/>
            <w:hideMark/>
          </w:tcPr>
          <w:p w14:paraId="65845128" w14:textId="77777777" w:rsidR="004A096A" w:rsidRPr="00EB3BFE" w:rsidRDefault="004A096A" w:rsidP="004A096A">
            <w:pPr>
              <w:rPr>
                <w:rFonts w:ascii="Times New Roman" w:hAnsi="Times New Roman" w:cs="Times New Roman"/>
                <w:b/>
                <w:bCs/>
                <w:sz w:val="20"/>
                <w:szCs w:val="20"/>
              </w:rPr>
            </w:pPr>
          </w:p>
        </w:tc>
      </w:tr>
      <w:tr w:rsidR="004A096A" w:rsidRPr="00EB3BFE" w14:paraId="1D701E0C" w14:textId="77777777" w:rsidTr="007A7870">
        <w:trPr>
          <w:trHeight w:val="335"/>
        </w:trPr>
        <w:tc>
          <w:tcPr>
            <w:tcW w:w="9175" w:type="dxa"/>
            <w:gridSpan w:val="4"/>
            <w:shd w:val="clear" w:color="auto" w:fill="92D050"/>
            <w:hideMark/>
          </w:tcPr>
          <w:p w14:paraId="15C764BB" w14:textId="2F3541D4" w:rsidR="004A096A" w:rsidRPr="00EB3BFE" w:rsidRDefault="004A096A" w:rsidP="004A096A">
            <w:pPr>
              <w:rPr>
                <w:rFonts w:ascii="Times New Roman" w:hAnsi="Times New Roman" w:cs="Times New Roman"/>
                <w:b/>
                <w:bCs/>
                <w:sz w:val="20"/>
                <w:szCs w:val="20"/>
              </w:rPr>
            </w:pPr>
            <w:r w:rsidRPr="00EB3BFE">
              <w:rPr>
                <w:rFonts w:ascii="Times New Roman" w:hAnsi="Times New Roman" w:cs="Times New Roman"/>
                <w:b/>
                <w:bCs/>
                <w:sz w:val="20"/>
                <w:szCs w:val="20"/>
              </w:rPr>
              <w:t>Assets</w:t>
            </w:r>
          </w:p>
        </w:tc>
      </w:tr>
      <w:tr w:rsidR="00262C95" w:rsidRPr="00EB3BFE" w14:paraId="6543EA55" w14:textId="77777777" w:rsidTr="00687A2D">
        <w:trPr>
          <w:trHeight w:val="550"/>
        </w:trPr>
        <w:tc>
          <w:tcPr>
            <w:tcW w:w="4118" w:type="dxa"/>
            <w:hideMark/>
          </w:tcPr>
          <w:p w14:paraId="713D6A1A" w14:textId="7A3C96E2" w:rsidR="00262C95" w:rsidRPr="00EB3BFE" w:rsidRDefault="00262C95" w:rsidP="00262C95">
            <w:pPr>
              <w:rPr>
                <w:rFonts w:ascii="Times New Roman" w:hAnsi="Times New Roman" w:cs="Times New Roman"/>
                <w:sz w:val="20"/>
                <w:szCs w:val="20"/>
              </w:rPr>
            </w:pPr>
            <w:r w:rsidRPr="00EB3BFE">
              <w:rPr>
                <w:rFonts w:ascii="Times New Roman" w:hAnsi="Times New Roman" w:cs="Times New Roman"/>
                <w:sz w:val="20"/>
                <w:szCs w:val="20"/>
              </w:rPr>
              <w:t>Cash and balances at central banks</w:t>
            </w:r>
          </w:p>
        </w:tc>
        <w:tc>
          <w:tcPr>
            <w:tcW w:w="1973" w:type="dxa"/>
            <w:tcBorders>
              <w:top w:val="nil"/>
              <w:left w:val="nil"/>
              <w:bottom w:val="single" w:sz="8" w:space="0" w:color="000000"/>
              <w:right w:val="single" w:sz="8" w:space="0" w:color="000000"/>
            </w:tcBorders>
            <w:shd w:val="clear" w:color="000000" w:fill="E6E6E6"/>
            <w:hideMark/>
          </w:tcPr>
          <w:p w14:paraId="5C1C6D0B" w14:textId="43F99322" w:rsidR="00262C95" w:rsidRPr="00B107F1" w:rsidRDefault="00A0412C" w:rsidP="00262C95">
            <w:pPr>
              <w:jc w:val="right"/>
              <w:rPr>
                <w:rFonts w:ascii="Times New Roman" w:hAnsi="Times New Roman" w:cs="Times New Roman"/>
                <w:sz w:val="20"/>
                <w:szCs w:val="20"/>
              </w:rPr>
            </w:pPr>
            <w:r w:rsidRPr="00A0412C">
              <w:rPr>
                <w:rFonts w:ascii="Times New Roman" w:hAnsi="Times New Roman" w:cs="Times New Roman"/>
                <w:sz w:val="20"/>
                <w:szCs w:val="20"/>
              </w:rPr>
              <w:t>129,064</w:t>
            </w:r>
          </w:p>
        </w:tc>
        <w:tc>
          <w:tcPr>
            <w:tcW w:w="2013" w:type="dxa"/>
            <w:tcBorders>
              <w:top w:val="nil"/>
              <w:left w:val="nil"/>
              <w:bottom w:val="single" w:sz="8" w:space="0" w:color="000000"/>
              <w:right w:val="single" w:sz="8" w:space="0" w:color="000000"/>
            </w:tcBorders>
            <w:shd w:val="clear" w:color="000000" w:fill="E6E6E6"/>
            <w:hideMark/>
          </w:tcPr>
          <w:p w14:paraId="499013BD" w14:textId="791E1CC7" w:rsidR="00262C95" w:rsidRPr="00B107F1" w:rsidRDefault="00A0412C" w:rsidP="00262C95">
            <w:pPr>
              <w:jc w:val="right"/>
              <w:rPr>
                <w:rFonts w:ascii="Times New Roman" w:hAnsi="Times New Roman" w:cs="Times New Roman"/>
                <w:sz w:val="20"/>
                <w:szCs w:val="20"/>
              </w:rPr>
            </w:pPr>
            <w:r w:rsidRPr="00A0412C">
              <w:rPr>
                <w:rFonts w:ascii="Times New Roman" w:hAnsi="Times New Roman" w:cs="Times New Roman"/>
                <w:sz w:val="20"/>
                <w:szCs w:val="20"/>
              </w:rPr>
              <w:t>129,064</w:t>
            </w:r>
          </w:p>
        </w:tc>
        <w:tc>
          <w:tcPr>
            <w:tcW w:w="1071" w:type="dxa"/>
            <w:hideMark/>
          </w:tcPr>
          <w:p w14:paraId="37522436" w14:textId="77777777" w:rsidR="00262C95" w:rsidRPr="00EB3BFE" w:rsidRDefault="00262C95" w:rsidP="00262C95">
            <w:pPr>
              <w:rPr>
                <w:rFonts w:ascii="Times New Roman" w:hAnsi="Times New Roman" w:cs="Times New Roman"/>
                <w:sz w:val="20"/>
                <w:szCs w:val="20"/>
              </w:rPr>
            </w:pPr>
          </w:p>
        </w:tc>
      </w:tr>
      <w:tr w:rsidR="00262C95" w:rsidRPr="00EB3BFE" w14:paraId="098B9BF4" w14:textId="77777777" w:rsidTr="00687A2D">
        <w:trPr>
          <w:trHeight w:val="550"/>
        </w:trPr>
        <w:tc>
          <w:tcPr>
            <w:tcW w:w="4118" w:type="dxa"/>
            <w:hideMark/>
          </w:tcPr>
          <w:p w14:paraId="798199FD" w14:textId="2A19AFB0" w:rsidR="00262C95" w:rsidRPr="00EB3BFE" w:rsidRDefault="00262C95" w:rsidP="00262C95">
            <w:pPr>
              <w:rPr>
                <w:rFonts w:ascii="Times New Roman" w:hAnsi="Times New Roman" w:cs="Times New Roman"/>
                <w:sz w:val="20"/>
                <w:szCs w:val="20"/>
              </w:rPr>
            </w:pPr>
            <w:r w:rsidRPr="00EB3BFE">
              <w:rPr>
                <w:rFonts w:ascii="Times New Roman" w:hAnsi="Times New Roman" w:cs="Times New Roman"/>
                <w:sz w:val="20"/>
                <w:szCs w:val="20"/>
              </w:rPr>
              <w:t>Items in the course of collection from other banks</w:t>
            </w:r>
          </w:p>
        </w:tc>
        <w:tc>
          <w:tcPr>
            <w:tcW w:w="1973" w:type="dxa"/>
            <w:tcBorders>
              <w:top w:val="nil"/>
              <w:left w:val="nil"/>
              <w:bottom w:val="single" w:sz="8" w:space="0" w:color="000000"/>
              <w:right w:val="single" w:sz="8" w:space="0" w:color="000000"/>
            </w:tcBorders>
            <w:shd w:val="clear" w:color="000000" w:fill="E6E6E6"/>
            <w:hideMark/>
          </w:tcPr>
          <w:p w14:paraId="7BFD7A50" w14:textId="11A28F3A" w:rsidR="00262C95" w:rsidRPr="00B107F1" w:rsidRDefault="00A0412C" w:rsidP="00262C95">
            <w:pPr>
              <w:jc w:val="right"/>
              <w:rPr>
                <w:rFonts w:ascii="Times New Roman" w:hAnsi="Times New Roman" w:cs="Times New Roman"/>
                <w:sz w:val="20"/>
                <w:szCs w:val="20"/>
              </w:rPr>
            </w:pPr>
            <w:r w:rsidRPr="00A0412C">
              <w:rPr>
                <w:rFonts w:ascii="Times New Roman" w:hAnsi="Times New Roman" w:cs="Times New Roman"/>
                <w:sz w:val="20"/>
                <w:szCs w:val="20"/>
              </w:rPr>
              <w:t>738,531</w:t>
            </w:r>
          </w:p>
        </w:tc>
        <w:tc>
          <w:tcPr>
            <w:tcW w:w="2013" w:type="dxa"/>
            <w:tcBorders>
              <w:top w:val="nil"/>
              <w:left w:val="nil"/>
              <w:bottom w:val="single" w:sz="8" w:space="0" w:color="000000"/>
              <w:right w:val="single" w:sz="8" w:space="0" w:color="000000"/>
            </w:tcBorders>
            <w:shd w:val="clear" w:color="000000" w:fill="E6E6E6"/>
            <w:hideMark/>
          </w:tcPr>
          <w:p w14:paraId="464A558F" w14:textId="2A94B36E" w:rsidR="00262C95" w:rsidRPr="00B107F1" w:rsidRDefault="00A0412C" w:rsidP="00262C95">
            <w:pPr>
              <w:jc w:val="right"/>
              <w:rPr>
                <w:rFonts w:ascii="Times New Roman" w:hAnsi="Times New Roman" w:cs="Times New Roman"/>
                <w:sz w:val="20"/>
                <w:szCs w:val="20"/>
              </w:rPr>
            </w:pPr>
            <w:r w:rsidRPr="00A0412C">
              <w:rPr>
                <w:rFonts w:ascii="Times New Roman" w:hAnsi="Times New Roman" w:cs="Times New Roman"/>
                <w:sz w:val="20"/>
                <w:szCs w:val="20"/>
              </w:rPr>
              <w:t>738,531</w:t>
            </w:r>
          </w:p>
        </w:tc>
        <w:tc>
          <w:tcPr>
            <w:tcW w:w="1071" w:type="dxa"/>
            <w:hideMark/>
          </w:tcPr>
          <w:p w14:paraId="2CC12A97" w14:textId="77777777" w:rsidR="00262C95" w:rsidRPr="00EB3BFE" w:rsidRDefault="00262C95" w:rsidP="00262C95">
            <w:pPr>
              <w:rPr>
                <w:rFonts w:ascii="Times New Roman" w:hAnsi="Times New Roman" w:cs="Times New Roman"/>
                <w:sz w:val="20"/>
                <w:szCs w:val="20"/>
              </w:rPr>
            </w:pPr>
          </w:p>
        </w:tc>
      </w:tr>
      <w:tr w:rsidR="00262C95" w:rsidRPr="00EB3BFE" w14:paraId="2EB827D5" w14:textId="77777777" w:rsidTr="00687A2D">
        <w:trPr>
          <w:trHeight w:val="550"/>
        </w:trPr>
        <w:tc>
          <w:tcPr>
            <w:tcW w:w="4118" w:type="dxa"/>
            <w:hideMark/>
          </w:tcPr>
          <w:p w14:paraId="4BEAA2DA" w14:textId="0512D60C" w:rsidR="00262C95" w:rsidRPr="00EB3BFE" w:rsidRDefault="00262C95" w:rsidP="00262C95">
            <w:pPr>
              <w:rPr>
                <w:rFonts w:ascii="Times New Roman" w:hAnsi="Times New Roman" w:cs="Times New Roman"/>
                <w:sz w:val="20"/>
                <w:szCs w:val="20"/>
              </w:rPr>
            </w:pPr>
            <w:r w:rsidRPr="00EB3BFE">
              <w:rPr>
                <w:rFonts w:ascii="Times New Roman" w:hAnsi="Times New Roman" w:cs="Times New Roman"/>
                <w:sz w:val="20"/>
                <w:szCs w:val="20"/>
              </w:rPr>
              <w:t>Trading portfolio assets</w:t>
            </w:r>
          </w:p>
        </w:tc>
        <w:tc>
          <w:tcPr>
            <w:tcW w:w="1973" w:type="dxa"/>
            <w:tcBorders>
              <w:top w:val="nil"/>
              <w:left w:val="nil"/>
              <w:bottom w:val="single" w:sz="8" w:space="0" w:color="000000"/>
              <w:right w:val="single" w:sz="8" w:space="0" w:color="000000"/>
            </w:tcBorders>
            <w:shd w:val="clear" w:color="000000" w:fill="E6E6E6"/>
            <w:hideMark/>
          </w:tcPr>
          <w:p w14:paraId="03765C6A" w14:textId="06E0EF2D" w:rsidR="00262C95" w:rsidRPr="00B107F1" w:rsidRDefault="00262C95" w:rsidP="00262C95">
            <w:pPr>
              <w:jc w:val="right"/>
              <w:rPr>
                <w:rFonts w:ascii="Times New Roman" w:hAnsi="Times New Roman" w:cs="Times New Roman"/>
                <w:sz w:val="20"/>
                <w:szCs w:val="20"/>
              </w:rPr>
            </w:pPr>
            <w:r w:rsidRPr="000B44AB">
              <w:rPr>
                <w:rFonts w:ascii="Times New Roman" w:hAnsi="Times New Roman" w:cs="Times New Roman"/>
                <w:sz w:val="20"/>
                <w:szCs w:val="20"/>
              </w:rPr>
              <w:t xml:space="preserve"> -   </w:t>
            </w:r>
          </w:p>
        </w:tc>
        <w:tc>
          <w:tcPr>
            <w:tcW w:w="2013" w:type="dxa"/>
            <w:tcBorders>
              <w:top w:val="nil"/>
              <w:left w:val="nil"/>
              <w:bottom w:val="single" w:sz="8" w:space="0" w:color="000000"/>
              <w:right w:val="single" w:sz="8" w:space="0" w:color="000000"/>
            </w:tcBorders>
            <w:shd w:val="clear" w:color="000000" w:fill="E6E6E6"/>
            <w:hideMark/>
          </w:tcPr>
          <w:p w14:paraId="6EC41277" w14:textId="1BD7A6EA" w:rsidR="00262C95" w:rsidRPr="00B107F1" w:rsidRDefault="00262C95" w:rsidP="00262C95">
            <w:pPr>
              <w:jc w:val="right"/>
              <w:rPr>
                <w:rFonts w:ascii="Times New Roman" w:hAnsi="Times New Roman" w:cs="Times New Roman"/>
                <w:sz w:val="20"/>
                <w:szCs w:val="20"/>
              </w:rPr>
            </w:pPr>
            <w:r w:rsidRPr="000B44AB">
              <w:rPr>
                <w:rFonts w:ascii="Times New Roman" w:hAnsi="Times New Roman" w:cs="Times New Roman"/>
                <w:sz w:val="20"/>
                <w:szCs w:val="20"/>
              </w:rPr>
              <w:t xml:space="preserve"> -   </w:t>
            </w:r>
          </w:p>
        </w:tc>
        <w:tc>
          <w:tcPr>
            <w:tcW w:w="1071" w:type="dxa"/>
            <w:hideMark/>
          </w:tcPr>
          <w:p w14:paraId="730555C4" w14:textId="77777777" w:rsidR="00262C95" w:rsidRPr="00EB3BFE" w:rsidRDefault="00262C95" w:rsidP="00262C95">
            <w:pPr>
              <w:rPr>
                <w:rFonts w:ascii="Times New Roman" w:hAnsi="Times New Roman" w:cs="Times New Roman"/>
                <w:sz w:val="20"/>
                <w:szCs w:val="20"/>
              </w:rPr>
            </w:pPr>
          </w:p>
        </w:tc>
      </w:tr>
      <w:tr w:rsidR="00262C95" w:rsidRPr="00EB3BFE" w14:paraId="5F871357" w14:textId="77777777" w:rsidTr="00687A2D">
        <w:trPr>
          <w:trHeight w:val="550"/>
        </w:trPr>
        <w:tc>
          <w:tcPr>
            <w:tcW w:w="4118" w:type="dxa"/>
            <w:hideMark/>
          </w:tcPr>
          <w:p w14:paraId="69DCD1F2" w14:textId="0A4ED09A" w:rsidR="00262C95" w:rsidRPr="00EB3BFE" w:rsidRDefault="00262C95" w:rsidP="00262C95">
            <w:pPr>
              <w:rPr>
                <w:rFonts w:ascii="Times New Roman" w:hAnsi="Times New Roman" w:cs="Times New Roman"/>
                <w:sz w:val="20"/>
                <w:szCs w:val="20"/>
              </w:rPr>
            </w:pPr>
            <w:r w:rsidRPr="00EB3BFE">
              <w:rPr>
                <w:rFonts w:ascii="Times New Roman" w:hAnsi="Times New Roman" w:cs="Times New Roman"/>
                <w:sz w:val="20"/>
                <w:szCs w:val="20"/>
              </w:rPr>
              <w:t>Financial assets designated at fair value</w:t>
            </w:r>
          </w:p>
        </w:tc>
        <w:tc>
          <w:tcPr>
            <w:tcW w:w="1973" w:type="dxa"/>
            <w:tcBorders>
              <w:top w:val="nil"/>
              <w:left w:val="nil"/>
              <w:bottom w:val="single" w:sz="8" w:space="0" w:color="000000"/>
              <w:right w:val="single" w:sz="8" w:space="0" w:color="000000"/>
            </w:tcBorders>
            <w:shd w:val="clear" w:color="auto" w:fill="auto"/>
            <w:hideMark/>
          </w:tcPr>
          <w:p w14:paraId="53917987" w14:textId="0BBB26CC" w:rsidR="00262C95" w:rsidRDefault="00687A2D" w:rsidP="00262C95">
            <w:pPr>
              <w:jc w:val="right"/>
              <w:rPr>
                <w:rFonts w:ascii="Times New Roman" w:hAnsi="Times New Roman" w:cs="Times New Roman"/>
                <w:sz w:val="20"/>
                <w:szCs w:val="20"/>
              </w:rPr>
            </w:pPr>
            <w:r>
              <w:rPr>
                <w:rFonts w:ascii="Times New Roman" w:hAnsi="Times New Roman" w:cs="Times New Roman"/>
                <w:sz w:val="20"/>
                <w:szCs w:val="20"/>
              </w:rPr>
              <w:t>-</w:t>
            </w:r>
          </w:p>
          <w:p w14:paraId="576F1A43" w14:textId="212CED1F" w:rsidR="00716BD9" w:rsidRPr="00B107F1" w:rsidRDefault="00716BD9" w:rsidP="00262C95">
            <w:pPr>
              <w:jc w:val="right"/>
              <w:rPr>
                <w:rFonts w:ascii="Times New Roman" w:hAnsi="Times New Roman" w:cs="Times New Roman"/>
                <w:sz w:val="20"/>
                <w:szCs w:val="20"/>
              </w:rPr>
            </w:pPr>
          </w:p>
        </w:tc>
        <w:tc>
          <w:tcPr>
            <w:tcW w:w="2013" w:type="dxa"/>
            <w:tcBorders>
              <w:top w:val="nil"/>
              <w:left w:val="nil"/>
              <w:bottom w:val="single" w:sz="8" w:space="0" w:color="000000"/>
              <w:right w:val="single" w:sz="8" w:space="0" w:color="000000"/>
            </w:tcBorders>
            <w:shd w:val="clear" w:color="000000" w:fill="E6E6E6"/>
            <w:hideMark/>
          </w:tcPr>
          <w:p w14:paraId="425580FF" w14:textId="70B5E9CB" w:rsidR="00262C95" w:rsidRDefault="00286BFC" w:rsidP="00262C95">
            <w:pPr>
              <w:jc w:val="right"/>
              <w:rPr>
                <w:rFonts w:ascii="Times New Roman" w:hAnsi="Times New Roman" w:cs="Times New Roman"/>
                <w:sz w:val="20"/>
                <w:szCs w:val="20"/>
              </w:rPr>
            </w:pPr>
            <w:r>
              <w:rPr>
                <w:rFonts w:ascii="Times New Roman" w:hAnsi="Times New Roman" w:cs="Times New Roman"/>
                <w:sz w:val="20"/>
                <w:szCs w:val="20"/>
              </w:rPr>
              <w:t>-</w:t>
            </w:r>
          </w:p>
          <w:p w14:paraId="5C4F6503" w14:textId="2ED52768" w:rsidR="00716BD9" w:rsidRPr="00B107F1" w:rsidRDefault="00716BD9" w:rsidP="00262C95">
            <w:pPr>
              <w:jc w:val="right"/>
              <w:rPr>
                <w:rFonts w:ascii="Times New Roman" w:hAnsi="Times New Roman" w:cs="Times New Roman"/>
                <w:sz w:val="20"/>
                <w:szCs w:val="20"/>
              </w:rPr>
            </w:pPr>
          </w:p>
        </w:tc>
        <w:tc>
          <w:tcPr>
            <w:tcW w:w="1071" w:type="dxa"/>
            <w:hideMark/>
          </w:tcPr>
          <w:p w14:paraId="6CE31AC6" w14:textId="77777777" w:rsidR="00262C95" w:rsidRPr="00EB3BFE" w:rsidRDefault="00262C95" w:rsidP="00262C95">
            <w:pPr>
              <w:rPr>
                <w:rFonts w:ascii="Times New Roman" w:hAnsi="Times New Roman" w:cs="Times New Roman"/>
                <w:sz w:val="20"/>
                <w:szCs w:val="20"/>
              </w:rPr>
            </w:pPr>
          </w:p>
        </w:tc>
      </w:tr>
      <w:tr w:rsidR="00262C95" w:rsidRPr="00EB3BFE" w14:paraId="71CB0752" w14:textId="77777777" w:rsidTr="00687A2D">
        <w:trPr>
          <w:trHeight w:val="550"/>
        </w:trPr>
        <w:tc>
          <w:tcPr>
            <w:tcW w:w="4118" w:type="dxa"/>
            <w:hideMark/>
          </w:tcPr>
          <w:p w14:paraId="5BFDE2B8" w14:textId="2CDBF703" w:rsidR="00262C95" w:rsidRPr="00EB3BFE" w:rsidRDefault="00262C95" w:rsidP="00262C95">
            <w:pPr>
              <w:rPr>
                <w:rFonts w:ascii="Times New Roman" w:hAnsi="Times New Roman" w:cs="Times New Roman"/>
                <w:sz w:val="20"/>
                <w:szCs w:val="20"/>
              </w:rPr>
            </w:pPr>
            <w:r w:rsidRPr="00EB3BFE">
              <w:rPr>
                <w:rFonts w:ascii="Times New Roman" w:hAnsi="Times New Roman" w:cs="Times New Roman"/>
                <w:sz w:val="20"/>
                <w:szCs w:val="20"/>
              </w:rPr>
              <w:t>Derivative financial instruments</w:t>
            </w:r>
          </w:p>
        </w:tc>
        <w:tc>
          <w:tcPr>
            <w:tcW w:w="1973" w:type="dxa"/>
            <w:tcBorders>
              <w:top w:val="nil"/>
              <w:left w:val="nil"/>
              <w:bottom w:val="single" w:sz="8" w:space="0" w:color="000000"/>
              <w:right w:val="single" w:sz="8" w:space="0" w:color="000000"/>
            </w:tcBorders>
            <w:shd w:val="clear" w:color="000000" w:fill="E6E6E6"/>
            <w:hideMark/>
          </w:tcPr>
          <w:p w14:paraId="35EF9F2F" w14:textId="1D205CF5" w:rsidR="00262C95" w:rsidRPr="00B107F1" w:rsidRDefault="00262C95" w:rsidP="00262C95">
            <w:pPr>
              <w:jc w:val="right"/>
              <w:rPr>
                <w:rFonts w:ascii="Times New Roman" w:hAnsi="Times New Roman" w:cs="Times New Roman"/>
                <w:sz w:val="20"/>
                <w:szCs w:val="20"/>
              </w:rPr>
            </w:pPr>
            <w:r w:rsidRPr="000B44AB">
              <w:rPr>
                <w:rFonts w:ascii="Times New Roman" w:hAnsi="Times New Roman" w:cs="Times New Roman"/>
                <w:sz w:val="20"/>
                <w:szCs w:val="20"/>
              </w:rPr>
              <w:t xml:space="preserve"> -   </w:t>
            </w:r>
          </w:p>
        </w:tc>
        <w:tc>
          <w:tcPr>
            <w:tcW w:w="2013" w:type="dxa"/>
            <w:tcBorders>
              <w:top w:val="nil"/>
              <w:left w:val="nil"/>
              <w:bottom w:val="single" w:sz="8" w:space="0" w:color="000000"/>
              <w:right w:val="single" w:sz="8" w:space="0" w:color="000000"/>
            </w:tcBorders>
            <w:shd w:val="clear" w:color="000000" w:fill="E6E6E6"/>
            <w:hideMark/>
          </w:tcPr>
          <w:p w14:paraId="44BAAEF5" w14:textId="3C366F69" w:rsidR="00262C95" w:rsidRPr="00B107F1" w:rsidRDefault="00262C95" w:rsidP="00262C95">
            <w:pPr>
              <w:jc w:val="right"/>
              <w:rPr>
                <w:rFonts w:ascii="Times New Roman" w:hAnsi="Times New Roman" w:cs="Times New Roman"/>
                <w:sz w:val="20"/>
                <w:szCs w:val="20"/>
              </w:rPr>
            </w:pPr>
            <w:r w:rsidRPr="000B44AB">
              <w:rPr>
                <w:rFonts w:ascii="Times New Roman" w:hAnsi="Times New Roman" w:cs="Times New Roman"/>
                <w:sz w:val="20"/>
                <w:szCs w:val="20"/>
              </w:rPr>
              <w:t xml:space="preserve"> -   </w:t>
            </w:r>
          </w:p>
        </w:tc>
        <w:tc>
          <w:tcPr>
            <w:tcW w:w="1071" w:type="dxa"/>
            <w:hideMark/>
          </w:tcPr>
          <w:p w14:paraId="48D6C186" w14:textId="77777777" w:rsidR="00262C95" w:rsidRPr="00EB3BFE" w:rsidRDefault="00262C95" w:rsidP="00262C95">
            <w:pPr>
              <w:rPr>
                <w:rFonts w:ascii="Times New Roman" w:hAnsi="Times New Roman" w:cs="Times New Roman"/>
                <w:sz w:val="20"/>
                <w:szCs w:val="20"/>
              </w:rPr>
            </w:pPr>
          </w:p>
        </w:tc>
      </w:tr>
      <w:tr w:rsidR="00262C95" w:rsidRPr="00EB3BFE" w14:paraId="1C6B48C8" w14:textId="77777777" w:rsidTr="00687A2D">
        <w:trPr>
          <w:trHeight w:val="550"/>
        </w:trPr>
        <w:tc>
          <w:tcPr>
            <w:tcW w:w="4118" w:type="dxa"/>
            <w:hideMark/>
          </w:tcPr>
          <w:p w14:paraId="14E4C63C" w14:textId="7B475150" w:rsidR="00262C95" w:rsidRPr="00EB3BFE" w:rsidRDefault="00262C95" w:rsidP="00262C95">
            <w:pPr>
              <w:rPr>
                <w:rFonts w:ascii="Times New Roman" w:hAnsi="Times New Roman" w:cs="Times New Roman"/>
                <w:sz w:val="20"/>
                <w:szCs w:val="20"/>
              </w:rPr>
            </w:pPr>
            <w:r w:rsidRPr="00EB3BFE">
              <w:rPr>
                <w:rFonts w:ascii="Times New Roman" w:hAnsi="Times New Roman" w:cs="Times New Roman"/>
                <w:sz w:val="20"/>
                <w:szCs w:val="20"/>
              </w:rPr>
              <w:t>Loans and advances to banks</w:t>
            </w:r>
          </w:p>
        </w:tc>
        <w:tc>
          <w:tcPr>
            <w:tcW w:w="1973" w:type="dxa"/>
            <w:tcBorders>
              <w:top w:val="nil"/>
              <w:left w:val="nil"/>
              <w:bottom w:val="single" w:sz="8" w:space="0" w:color="000000"/>
              <w:right w:val="single" w:sz="8" w:space="0" w:color="000000"/>
            </w:tcBorders>
            <w:shd w:val="clear" w:color="000000" w:fill="E6E6E6"/>
            <w:hideMark/>
          </w:tcPr>
          <w:p w14:paraId="27959F93" w14:textId="7A5D1D79" w:rsidR="00262C95" w:rsidRPr="00B107F1" w:rsidRDefault="00262C95" w:rsidP="00262C95">
            <w:pPr>
              <w:jc w:val="right"/>
              <w:rPr>
                <w:rFonts w:ascii="Times New Roman" w:hAnsi="Times New Roman" w:cs="Times New Roman"/>
                <w:sz w:val="20"/>
                <w:szCs w:val="20"/>
              </w:rPr>
            </w:pPr>
            <w:r w:rsidRPr="000B44AB">
              <w:rPr>
                <w:rFonts w:ascii="Times New Roman" w:hAnsi="Times New Roman" w:cs="Times New Roman"/>
                <w:sz w:val="20"/>
                <w:szCs w:val="20"/>
              </w:rPr>
              <w:t xml:space="preserve"> -   </w:t>
            </w:r>
          </w:p>
        </w:tc>
        <w:tc>
          <w:tcPr>
            <w:tcW w:w="2013" w:type="dxa"/>
            <w:tcBorders>
              <w:top w:val="nil"/>
              <w:left w:val="nil"/>
              <w:bottom w:val="single" w:sz="8" w:space="0" w:color="000000"/>
              <w:right w:val="single" w:sz="8" w:space="0" w:color="000000"/>
            </w:tcBorders>
            <w:shd w:val="clear" w:color="000000" w:fill="E6E6E6"/>
            <w:hideMark/>
          </w:tcPr>
          <w:p w14:paraId="32179196" w14:textId="0A1E0832" w:rsidR="00262C95" w:rsidRPr="00B107F1" w:rsidRDefault="00262C95" w:rsidP="00262C95">
            <w:pPr>
              <w:jc w:val="right"/>
              <w:rPr>
                <w:rFonts w:ascii="Times New Roman" w:hAnsi="Times New Roman" w:cs="Times New Roman"/>
                <w:sz w:val="20"/>
                <w:szCs w:val="20"/>
              </w:rPr>
            </w:pPr>
            <w:r w:rsidRPr="000B44AB">
              <w:rPr>
                <w:rFonts w:ascii="Times New Roman" w:hAnsi="Times New Roman" w:cs="Times New Roman"/>
                <w:sz w:val="20"/>
                <w:szCs w:val="20"/>
              </w:rPr>
              <w:t xml:space="preserve"> -   </w:t>
            </w:r>
          </w:p>
        </w:tc>
        <w:tc>
          <w:tcPr>
            <w:tcW w:w="1071" w:type="dxa"/>
            <w:hideMark/>
          </w:tcPr>
          <w:p w14:paraId="4D38F066" w14:textId="77777777" w:rsidR="00262C95" w:rsidRPr="00EB3BFE" w:rsidRDefault="00262C95" w:rsidP="00262C95">
            <w:pPr>
              <w:rPr>
                <w:rFonts w:ascii="Times New Roman" w:hAnsi="Times New Roman" w:cs="Times New Roman"/>
                <w:sz w:val="20"/>
                <w:szCs w:val="20"/>
              </w:rPr>
            </w:pPr>
          </w:p>
        </w:tc>
      </w:tr>
      <w:tr w:rsidR="00262C95" w:rsidRPr="00EB3BFE" w14:paraId="4C5096A3" w14:textId="77777777" w:rsidTr="00687A2D">
        <w:trPr>
          <w:trHeight w:val="550"/>
        </w:trPr>
        <w:tc>
          <w:tcPr>
            <w:tcW w:w="4118" w:type="dxa"/>
            <w:hideMark/>
          </w:tcPr>
          <w:p w14:paraId="5AD3DE52" w14:textId="4BB37B98" w:rsidR="00262C95" w:rsidRPr="00EB3BFE" w:rsidRDefault="00262C95" w:rsidP="00262C95">
            <w:pPr>
              <w:rPr>
                <w:rFonts w:ascii="Times New Roman" w:hAnsi="Times New Roman" w:cs="Times New Roman"/>
                <w:sz w:val="20"/>
                <w:szCs w:val="20"/>
              </w:rPr>
            </w:pPr>
            <w:r w:rsidRPr="00EB3BFE">
              <w:rPr>
                <w:rFonts w:ascii="Times New Roman" w:hAnsi="Times New Roman" w:cs="Times New Roman"/>
                <w:sz w:val="20"/>
                <w:szCs w:val="20"/>
              </w:rPr>
              <w:t>Loans and advances to customers</w:t>
            </w:r>
          </w:p>
        </w:tc>
        <w:tc>
          <w:tcPr>
            <w:tcW w:w="1973" w:type="dxa"/>
            <w:tcBorders>
              <w:top w:val="nil"/>
              <w:left w:val="nil"/>
              <w:bottom w:val="single" w:sz="8" w:space="0" w:color="000000"/>
              <w:right w:val="single" w:sz="8" w:space="0" w:color="000000"/>
            </w:tcBorders>
            <w:shd w:val="clear" w:color="000000" w:fill="E6E6E6"/>
            <w:hideMark/>
          </w:tcPr>
          <w:p w14:paraId="0D04DC70" w14:textId="52A1F2E3" w:rsidR="00262C95" w:rsidRPr="00B107F1" w:rsidRDefault="00A0412C" w:rsidP="00262C95">
            <w:pPr>
              <w:jc w:val="right"/>
              <w:rPr>
                <w:rFonts w:ascii="Times New Roman" w:hAnsi="Times New Roman" w:cs="Times New Roman"/>
                <w:sz w:val="20"/>
                <w:szCs w:val="20"/>
              </w:rPr>
            </w:pPr>
            <w:r w:rsidRPr="00A0412C">
              <w:rPr>
                <w:rFonts w:ascii="Times New Roman" w:hAnsi="Times New Roman" w:cs="Times New Roman"/>
                <w:sz w:val="20"/>
                <w:szCs w:val="20"/>
              </w:rPr>
              <w:t>3,027,644</w:t>
            </w:r>
          </w:p>
        </w:tc>
        <w:tc>
          <w:tcPr>
            <w:tcW w:w="2013" w:type="dxa"/>
            <w:tcBorders>
              <w:top w:val="nil"/>
              <w:left w:val="nil"/>
              <w:bottom w:val="single" w:sz="8" w:space="0" w:color="000000"/>
              <w:right w:val="single" w:sz="8" w:space="0" w:color="000000"/>
            </w:tcBorders>
            <w:shd w:val="clear" w:color="000000" w:fill="E6E6E6"/>
            <w:hideMark/>
          </w:tcPr>
          <w:p w14:paraId="0E8976B4" w14:textId="7C0B2A63" w:rsidR="00262C95" w:rsidRPr="00B107F1" w:rsidRDefault="00A0412C" w:rsidP="00262C95">
            <w:pPr>
              <w:jc w:val="right"/>
              <w:rPr>
                <w:rFonts w:ascii="Times New Roman" w:hAnsi="Times New Roman" w:cs="Times New Roman"/>
                <w:sz w:val="20"/>
                <w:szCs w:val="20"/>
              </w:rPr>
            </w:pPr>
            <w:r w:rsidRPr="00A0412C">
              <w:rPr>
                <w:rFonts w:ascii="Times New Roman" w:hAnsi="Times New Roman" w:cs="Times New Roman"/>
                <w:sz w:val="20"/>
                <w:szCs w:val="20"/>
              </w:rPr>
              <w:t>3,027,644</w:t>
            </w:r>
          </w:p>
        </w:tc>
        <w:tc>
          <w:tcPr>
            <w:tcW w:w="1071" w:type="dxa"/>
            <w:hideMark/>
          </w:tcPr>
          <w:p w14:paraId="4A9B8BD7" w14:textId="77777777" w:rsidR="00262C95" w:rsidRPr="00EB3BFE" w:rsidRDefault="00262C95" w:rsidP="00262C95">
            <w:pPr>
              <w:rPr>
                <w:rFonts w:ascii="Times New Roman" w:hAnsi="Times New Roman" w:cs="Times New Roman"/>
                <w:sz w:val="20"/>
                <w:szCs w:val="20"/>
              </w:rPr>
            </w:pPr>
          </w:p>
        </w:tc>
      </w:tr>
      <w:tr w:rsidR="00262C95" w:rsidRPr="00EB3BFE" w14:paraId="233BB9EF" w14:textId="77777777" w:rsidTr="00687A2D">
        <w:trPr>
          <w:trHeight w:val="550"/>
        </w:trPr>
        <w:tc>
          <w:tcPr>
            <w:tcW w:w="4118" w:type="dxa"/>
            <w:hideMark/>
          </w:tcPr>
          <w:p w14:paraId="4AAFDBC2" w14:textId="5FB5808C" w:rsidR="00262C95" w:rsidRPr="00EB3BFE" w:rsidRDefault="00262C95" w:rsidP="00262C95">
            <w:pPr>
              <w:rPr>
                <w:rFonts w:ascii="Times New Roman" w:hAnsi="Times New Roman" w:cs="Times New Roman"/>
                <w:sz w:val="20"/>
                <w:szCs w:val="20"/>
              </w:rPr>
            </w:pPr>
            <w:r w:rsidRPr="00EB3BFE">
              <w:rPr>
                <w:rFonts w:ascii="Times New Roman" w:hAnsi="Times New Roman" w:cs="Times New Roman"/>
                <w:sz w:val="20"/>
                <w:szCs w:val="20"/>
              </w:rPr>
              <w:t>Reverse repurchase agreements and other similar secured lending</w:t>
            </w:r>
          </w:p>
        </w:tc>
        <w:tc>
          <w:tcPr>
            <w:tcW w:w="1973" w:type="dxa"/>
            <w:tcBorders>
              <w:top w:val="nil"/>
              <w:left w:val="nil"/>
              <w:bottom w:val="single" w:sz="8" w:space="0" w:color="000000"/>
              <w:right w:val="single" w:sz="8" w:space="0" w:color="000000"/>
            </w:tcBorders>
            <w:shd w:val="clear" w:color="000000" w:fill="E6E6E6"/>
            <w:hideMark/>
          </w:tcPr>
          <w:p w14:paraId="578E7492" w14:textId="066A93EF" w:rsidR="00262C95" w:rsidRPr="00B107F1" w:rsidRDefault="00A0412C" w:rsidP="00262C95">
            <w:pPr>
              <w:jc w:val="right"/>
              <w:rPr>
                <w:rFonts w:ascii="Times New Roman" w:hAnsi="Times New Roman" w:cs="Times New Roman"/>
                <w:sz w:val="20"/>
                <w:szCs w:val="20"/>
              </w:rPr>
            </w:pPr>
            <w:r w:rsidRPr="00A0412C">
              <w:rPr>
                <w:rFonts w:ascii="Times New Roman" w:eastAsia="Times New Roman" w:hAnsi="Times New Roman" w:cs="Times New Roman"/>
                <w:sz w:val="20"/>
                <w:szCs w:val="20"/>
                <w:lang w:val="en-US"/>
              </w:rPr>
              <w:t>520,697</w:t>
            </w:r>
          </w:p>
        </w:tc>
        <w:tc>
          <w:tcPr>
            <w:tcW w:w="2013" w:type="dxa"/>
            <w:tcBorders>
              <w:top w:val="nil"/>
              <w:left w:val="nil"/>
              <w:bottom w:val="single" w:sz="8" w:space="0" w:color="000000"/>
              <w:right w:val="single" w:sz="8" w:space="0" w:color="000000"/>
            </w:tcBorders>
            <w:shd w:val="clear" w:color="000000" w:fill="E6E6E6"/>
            <w:hideMark/>
          </w:tcPr>
          <w:p w14:paraId="0F1AEFBE" w14:textId="21396E3D" w:rsidR="00262C95" w:rsidRPr="00B107F1" w:rsidRDefault="00A0412C" w:rsidP="00262C95">
            <w:pPr>
              <w:jc w:val="right"/>
              <w:rPr>
                <w:rFonts w:ascii="Times New Roman" w:hAnsi="Times New Roman" w:cs="Times New Roman"/>
                <w:sz w:val="20"/>
                <w:szCs w:val="20"/>
              </w:rPr>
            </w:pPr>
            <w:r w:rsidRPr="00A0412C">
              <w:rPr>
                <w:rFonts w:ascii="Times New Roman" w:hAnsi="Times New Roman" w:cs="Times New Roman"/>
                <w:sz w:val="20"/>
                <w:szCs w:val="20"/>
              </w:rPr>
              <w:t>520,697</w:t>
            </w:r>
          </w:p>
        </w:tc>
        <w:tc>
          <w:tcPr>
            <w:tcW w:w="1071" w:type="dxa"/>
            <w:hideMark/>
          </w:tcPr>
          <w:p w14:paraId="176BF251" w14:textId="77777777" w:rsidR="00262C95" w:rsidRPr="00EB3BFE" w:rsidRDefault="00262C95" w:rsidP="00262C95">
            <w:pPr>
              <w:rPr>
                <w:rFonts w:ascii="Times New Roman" w:hAnsi="Times New Roman" w:cs="Times New Roman"/>
                <w:sz w:val="20"/>
                <w:szCs w:val="20"/>
              </w:rPr>
            </w:pPr>
          </w:p>
        </w:tc>
      </w:tr>
      <w:tr w:rsidR="00B107F1" w:rsidRPr="00EB3BFE" w14:paraId="5435C06E" w14:textId="77777777" w:rsidTr="00687A2D">
        <w:trPr>
          <w:trHeight w:val="550"/>
        </w:trPr>
        <w:tc>
          <w:tcPr>
            <w:tcW w:w="4118" w:type="dxa"/>
            <w:hideMark/>
          </w:tcPr>
          <w:p w14:paraId="4558DB9E" w14:textId="6DEEAF24" w:rsidR="00B107F1" w:rsidRPr="00EB3BFE" w:rsidRDefault="00B107F1" w:rsidP="00B107F1">
            <w:pPr>
              <w:rPr>
                <w:rFonts w:ascii="Times New Roman" w:hAnsi="Times New Roman" w:cs="Times New Roman"/>
                <w:sz w:val="20"/>
                <w:szCs w:val="20"/>
              </w:rPr>
            </w:pPr>
            <w:r w:rsidRPr="00EB3BFE">
              <w:rPr>
                <w:rFonts w:ascii="Times New Roman" w:hAnsi="Times New Roman" w:cs="Times New Roman"/>
                <w:sz w:val="20"/>
                <w:szCs w:val="20"/>
              </w:rPr>
              <w:t>Available for sale financial investments</w:t>
            </w:r>
          </w:p>
        </w:tc>
        <w:tc>
          <w:tcPr>
            <w:tcW w:w="1973" w:type="dxa"/>
            <w:tcBorders>
              <w:top w:val="nil"/>
              <w:left w:val="nil"/>
              <w:bottom w:val="single" w:sz="8" w:space="0" w:color="000000"/>
              <w:right w:val="single" w:sz="8" w:space="0" w:color="000000"/>
            </w:tcBorders>
            <w:shd w:val="clear" w:color="000000" w:fill="E6E6E6"/>
            <w:vAlign w:val="center"/>
            <w:hideMark/>
          </w:tcPr>
          <w:p w14:paraId="7CEE1569" w14:textId="0DD6F3E1" w:rsidR="00B107F1" w:rsidRPr="00B107F1" w:rsidRDefault="00286BFC" w:rsidP="00B107F1">
            <w:pPr>
              <w:jc w:val="right"/>
              <w:rPr>
                <w:rFonts w:ascii="Times New Roman" w:hAnsi="Times New Roman" w:cs="Times New Roman"/>
                <w:sz w:val="20"/>
                <w:szCs w:val="20"/>
              </w:rPr>
            </w:pPr>
            <w:r>
              <w:rPr>
                <w:rFonts w:ascii="Times New Roman" w:hAnsi="Times New Roman" w:cs="Times New Roman"/>
                <w:sz w:val="20"/>
                <w:szCs w:val="20"/>
              </w:rPr>
              <w:t>-</w:t>
            </w:r>
            <w:r w:rsidR="00B107F1" w:rsidRPr="00B107F1">
              <w:rPr>
                <w:rFonts w:ascii="Times New Roman" w:hAnsi="Times New Roman" w:cs="Times New Roman"/>
                <w:sz w:val="20"/>
                <w:szCs w:val="20"/>
              </w:rPr>
              <w:t> </w:t>
            </w:r>
          </w:p>
        </w:tc>
        <w:tc>
          <w:tcPr>
            <w:tcW w:w="2013" w:type="dxa"/>
            <w:tcBorders>
              <w:top w:val="nil"/>
              <w:left w:val="nil"/>
              <w:bottom w:val="single" w:sz="8" w:space="0" w:color="000000"/>
              <w:right w:val="single" w:sz="8" w:space="0" w:color="000000"/>
            </w:tcBorders>
            <w:shd w:val="clear" w:color="000000" w:fill="E6E6E6"/>
            <w:vAlign w:val="center"/>
            <w:hideMark/>
          </w:tcPr>
          <w:p w14:paraId="54B85541" w14:textId="7E40BA4F" w:rsidR="00B107F1" w:rsidRPr="00B107F1" w:rsidRDefault="00B107F1" w:rsidP="00B107F1">
            <w:pPr>
              <w:jc w:val="right"/>
              <w:rPr>
                <w:rFonts w:ascii="Times New Roman" w:hAnsi="Times New Roman" w:cs="Times New Roman"/>
                <w:sz w:val="20"/>
                <w:szCs w:val="20"/>
              </w:rPr>
            </w:pPr>
            <w:r w:rsidRPr="00B107F1">
              <w:rPr>
                <w:rFonts w:ascii="Times New Roman" w:hAnsi="Times New Roman" w:cs="Times New Roman"/>
                <w:sz w:val="20"/>
                <w:szCs w:val="20"/>
              </w:rPr>
              <w:t xml:space="preserve">                                                       -   </w:t>
            </w:r>
          </w:p>
        </w:tc>
        <w:tc>
          <w:tcPr>
            <w:tcW w:w="1071" w:type="dxa"/>
            <w:hideMark/>
          </w:tcPr>
          <w:p w14:paraId="3EAB7F0C" w14:textId="77777777" w:rsidR="00B107F1" w:rsidRPr="00EB3BFE" w:rsidRDefault="00B107F1" w:rsidP="00B107F1">
            <w:pPr>
              <w:rPr>
                <w:rFonts w:ascii="Times New Roman" w:hAnsi="Times New Roman" w:cs="Times New Roman"/>
                <w:sz w:val="20"/>
                <w:szCs w:val="20"/>
              </w:rPr>
            </w:pPr>
          </w:p>
        </w:tc>
      </w:tr>
      <w:tr w:rsidR="00B107F1" w:rsidRPr="00EB3BFE" w14:paraId="6FD6192A" w14:textId="77777777" w:rsidTr="00687A2D">
        <w:trPr>
          <w:trHeight w:val="550"/>
        </w:trPr>
        <w:tc>
          <w:tcPr>
            <w:tcW w:w="4118" w:type="dxa"/>
            <w:hideMark/>
          </w:tcPr>
          <w:p w14:paraId="2D242A55" w14:textId="578B48E5" w:rsidR="00B107F1" w:rsidRPr="00EB3BFE" w:rsidRDefault="00B107F1" w:rsidP="00B107F1">
            <w:pPr>
              <w:rPr>
                <w:rFonts w:ascii="Times New Roman" w:hAnsi="Times New Roman" w:cs="Times New Roman"/>
                <w:sz w:val="20"/>
                <w:szCs w:val="20"/>
              </w:rPr>
            </w:pPr>
            <w:r w:rsidRPr="00EB3BFE">
              <w:rPr>
                <w:rFonts w:ascii="Times New Roman" w:hAnsi="Times New Roman" w:cs="Times New Roman"/>
                <w:sz w:val="20"/>
                <w:szCs w:val="20"/>
              </w:rPr>
              <w:t>Current and deferred tax assets</w:t>
            </w:r>
          </w:p>
        </w:tc>
        <w:tc>
          <w:tcPr>
            <w:tcW w:w="1973" w:type="dxa"/>
            <w:tcBorders>
              <w:top w:val="nil"/>
              <w:left w:val="nil"/>
              <w:bottom w:val="single" w:sz="8" w:space="0" w:color="000000"/>
              <w:right w:val="single" w:sz="8" w:space="0" w:color="000000"/>
            </w:tcBorders>
            <w:shd w:val="clear" w:color="000000" w:fill="E6E6E6"/>
            <w:vAlign w:val="center"/>
            <w:hideMark/>
          </w:tcPr>
          <w:p w14:paraId="5F78C7B5" w14:textId="50E13153" w:rsidR="00B107F1" w:rsidRPr="00B107F1" w:rsidRDefault="00B107F1" w:rsidP="00B107F1">
            <w:pPr>
              <w:jc w:val="right"/>
              <w:rPr>
                <w:rFonts w:ascii="Times New Roman" w:hAnsi="Times New Roman" w:cs="Times New Roman"/>
                <w:sz w:val="20"/>
                <w:szCs w:val="20"/>
              </w:rPr>
            </w:pPr>
            <w:r w:rsidRPr="00B107F1">
              <w:rPr>
                <w:rFonts w:ascii="Times New Roman" w:hAnsi="Times New Roman" w:cs="Times New Roman"/>
                <w:sz w:val="20"/>
                <w:szCs w:val="20"/>
              </w:rPr>
              <w:t xml:space="preserve">                                                                     -   </w:t>
            </w:r>
          </w:p>
        </w:tc>
        <w:tc>
          <w:tcPr>
            <w:tcW w:w="2013" w:type="dxa"/>
            <w:tcBorders>
              <w:top w:val="nil"/>
              <w:left w:val="nil"/>
              <w:bottom w:val="single" w:sz="8" w:space="0" w:color="000000"/>
              <w:right w:val="single" w:sz="8" w:space="0" w:color="000000"/>
            </w:tcBorders>
            <w:shd w:val="clear" w:color="000000" w:fill="E6E6E6"/>
            <w:vAlign w:val="center"/>
            <w:hideMark/>
          </w:tcPr>
          <w:p w14:paraId="379259E0" w14:textId="3CCBA4F6" w:rsidR="00B107F1" w:rsidRPr="00B107F1" w:rsidRDefault="00286BFC" w:rsidP="00B107F1">
            <w:pPr>
              <w:jc w:val="right"/>
              <w:rPr>
                <w:rFonts w:ascii="Times New Roman" w:hAnsi="Times New Roman" w:cs="Times New Roman"/>
                <w:sz w:val="20"/>
                <w:szCs w:val="20"/>
              </w:rPr>
            </w:pPr>
            <w:r>
              <w:rPr>
                <w:rFonts w:ascii="Times New Roman" w:hAnsi="Times New Roman" w:cs="Times New Roman"/>
                <w:sz w:val="20"/>
                <w:szCs w:val="20"/>
              </w:rPr>
              <w:t>-</w:t>
            </w:r>
          </w:p>
        </w:tc>
        <w:tc>
          <w:tcPr>
            <w:tcW w:w="1071" w:type="dxa"/>
            <w:hideMark/>
          </w:tcPr>
          <w:p w14:paraId="048EA82A" w14:textId="77777777" w:rsidR="00B107F1" w:rsidRPr="00EB3BFE" w:rsidRDefault="00B107F1" w:rsidP="00B107F1">
            <w:pPr>
              <w:rPr>
                <w:rFonts w:ascii="Times New Roman" w:hAnsi="Times New Roman" w:cs="Times New Roman"/>
                <w:sz w:val="20"/>
                <w:szCs w:val="20"/>
              </w:rPr>
            </w:pPr>
          </w:p>
        </w:tc>
      </w:tr>
      <w:tr w:rsidR="00262C95" w:rsidRPr="00EB3BFE" w14:paraId="757E8C08" w14:textId="77777777" w:rsidTr="00687A2D">
        <w:trPr>
          <w:trHeight w:val="550"/>
        </w:trPr>
        <w:tc>
          <w:tcPr>
            <w:tcW w:w="4118" w:type="dxa"/>
            <w:tcBorders>
              <w:bottom w:val="single" w:sz="4" w:space="0" w:color="auto"/>
            </w:tcBorders>
            <w:hideMark/>
          </w:tcPr>
          <w:p w14:paraId="03904C29" w14:textId="034A1309" w:rsidR="00262C95" w:rsidRPr="00EB3BFE" w:rsidRDefault="00262C95" w:rsidP="00262C95">
            <w:pPr>
              <w:rPr>
                <w:rFonts w:ascii="Times New Roman" w:hAnsi="Times New Roman" w:cs="Times New Roman"/>
                <w:sz w:val="20"/>
                <w:szCs w:val="20"/>
              </w:rPr>
            </w:pPr>
            <w:r w:rsidRPr="00EB3BFE">
              <w:rPr>
                <w:rFonts w:ascii="Times New Roman" w:hAnsi="Times New Roman" w:cs="Times New Roman"/>
                <w:sz w:val="20"/>
                <w:szCs w:val="20"/>
              </w:rPr>
              <w:t>Prepayments, accrued income and other assets</w:t>
            </w:r>
          </w:p>
        </w:tc>
        <w:tc>
          <w:tcPr>
            <w:tcW w:w="1973" w:type="dxa"/>
            <w:tcBorders>
              <w:top w:val="nil"/>
              <w:left w:val="nil"/>
              <w:bottom w:val="single" w:sz="4" w:space="0" w:color="auto"/>
              <w:right w:val="single" w:sz="8" w:space="0" w:color="000000"/>
            </w:tcBorders>
            <w:shd w:val="clear" w:color="000000" w:fill="E6E6E6"/>
            <w:hideMark/>
          </w:tcPr>
          <w:p w14:paraId="51C66396" w14:textId="0503CDF3" w:rsidR="00262C95" w:rsidRPr="00B107F1" w:rsidRDefault="00A0412C" w:rsidP="00262C95">
            <w:pPr>
              <w:jc w:val="right"/>
              <w:rPr>
                <w:rFonts w:ascii="Times New Roman" w:hAnsi="Times New Roman" w:cs="Times New Roman"/>
                <w:sz w:val="20"/>
                <w:szCs w:val="20"/>
              </w:rPr>
            </w:pPr>
            <w:r w:rsidRPr="00A0412C">
              <w:rPr>
                <w:rFonts w:ascii="Times New Roman" w:hAnsi="Times New Roman" w:cs="Times New Roman"/>
                <w:sz w:val="20"/>
                <w:szCs w:val="20"/>
              </w:rPr>
              <w:t>31,412</w:t>
            </w:r>
          </w:p>
        </w:tc>
        <w:tc>
          <w:tcPr>
            <w:tcW w:w="2013" w:type="dxa"/>
            <w:tcBorders>
              <w:top w:val="nil"/>
              <w:left w:val="nil"/>
              <w:bottom w:val="single" w:sz="4" w:space="0" w:color="auto"/>
              <w:right w:val="single" w:sz="8" w:space="0" w:color="000000"/>
            </w:tcBorders>
            <w:shd w:val="clear" w:color="000000" w:fill="E6E6E6"/>
            <w:hideMark/>
          </w:tcPr>
          <w:p w14:paraId="42E74F27" w14:textId="24986CED" w:rsidR="00262C95" w:rsidRPr="00B107F1" w:rsidRDefault="00A0412C" w:rsidP="00262C95">
            <w:pPr>
              <w:jc w:val="right"/>
              <w:rPr>
                <w:rFonts w:ascii="Times New Roman" w:hAnsi="Times New Roman" w:cs="Times New Roman"/>
                <w:sz w:val="20"/>
                <w:szCs w:val="20"/>
              </w:rPr>
            </w:pPr>
            <w:r w:rsidRPr="00A0412C">
              <w:rPr>
                <w:rFonts w:ascii="Times New Roman" w:hAnsi="Times New Roman" w:cs="Times New Roman"/>
                <w:sz w:val="20"/>
                <w:szCs w:val="20"/>
              </w:rPr>
              <w:t>31,412</w:t>
            </w:r>
          </w:p>
        </w:tc>
        <w:tc>
          <w:tcPr>
            <w:tcW w:w="1071" w:type="dxa"/>
            <w:tcBorders>
              <w:bottom w:val="single" w:sz="4" w:space="0" w:color="auto"/>
            </w:tcBorders>
            <w:hideMark/>
          </w:tcPr>
          <w:p w14:paraId="3ED466F5" w14:textId="77777777" w:rsidR="00262C95" w:rsidRPr="00EB3BFE" w:rsidRDefault="00262C95" w:rsidP="00262C95">
            <w:pPr>
              <w:rPr>
                <w:rFonts w:ascii="Times New Roman" w:hAnsi="Times New Roman" w:cs="Times New Roman"/>
                <w:sz w:val="20"/>
                <w:szCs w:val="20"/>
              </w:rPr>
            </w:pPr>
          </w:p>
        </w:tc>
      </w:tr>
      <w:tr w:rsidR="00B107F1" w:rsidRPr="00EB3BFE" w14:paraId="761459A8" w14:textId="77777777" w:rsidTr="00687A2D">
        <w:trPr>
          <w:trHeight w:val="550"/>
        </w:trPr>
        <w:tc>
          <w:tcPr>
            <w:tcW w:w="4118" w:type="dxa"/>
            <w:tcBorders>
              <w:top w:val="single" w:sz="4" w:space="0" w:color="auto"/>
            </w:tcBorders>
            <w:hideMark/>
          </w:tcPr>
          <w:p w14:paraId="12CF169B" w14:textId="30F6B004" w:rsidR="00B107F1" w:rsidRPr="00EB3BFE" w:rsidRDefault="00B107F1" w:rsidP="00B107F1">
            <w:pPr>
              <w:rPr>
                <w:rFonts w:ascii="Times New Roman" w:hAnsi="Times New Roman" w:cs="Times New Roman"/>
                <w:sz w:val="20"/>
                <w:szCs w:val="20"/>
              </w:rPr>
            </w:pPr>
            <w:r w:rsidRPr="00EB3BFE">
              <w:rPr>
                <w:rFonts w:ascii="Times New Roman" w:hAnsi="Times New Roman" w:cs="Times New Roman"/>
                <w:sz w:val="20"/>
                <w:szCs w:val="20"/>
              </w:rPr>
              <w:lastRenderedPageBreak/>
              <w:t>Investments in associates and joint ventures</w:t>
            </w:r>
          </w:p>
        </w:tc>
        <w:tc>
          <w:tcPr>
            <w:tcW w:w="1973" w:type="dxa"/>
            <w:tcBorders>
              <w:top w:val="single" w:sz="4" w:space="0" w:color="auto"/>
              <w:left w:val="nil"/>
              <w:bottom w:val="single" w:sz="8" w:space="0" w:color="000000"/>
              <w:right w:val="single" w:sz="8" w:space="0" w:color="000000"/>
            </w:tcBorders>
            <w:shd w:val="clear" w:color="000000" w:fill="E6E6E6"/>
            <w:vAlign w:val="center"/>
            <w:hideMark/>
          </w:tcPr>
          <w:p w14:paraId="2DA2E9FD" w14:textId="4A43C2DD" w:rsidR="00B107F1" w:rsidRPr="00B107F1" w:rsidRDefault="00B107F1" w:rsidP="00B107F1">
            <w:pPr>
              <w:jc w:val="right"/>
              <w:rPr>
                <w:rFonts w:ascii="Times New Roman" w:hAnsi="Times New Roman" w:cs="Times New Roman"/>
                <w:sz w:val="20"/>
                <w:szCs w:val="20"/>
              </w:rPr>
            </w:pPr>
            <w:r w:rsidRPr="00B107F1">
              <w:rPr>
                <w:rFonts w:ascii="Times New Roman" w:hAnsi="Times New Roman" w:cs="Times New Roman"/>
                <w:sz w:val="20"/>
                <w:szCs w:val="20"/>
              </w:rPr>
              <w:t xml:space="preserve">                                                                     -   </w:t>
            </w:r>
          </w:p>
        </w:tc>
        <w:tc>
          <w:tcPr>
            <w:tcW w:w="2013" w:type="dxa"/>
            <w:tcBorders>
              <w:top w:val="single" w:sz="4" w:space="0" w:color="auto"/>
              <w:left w:val="nil"/>
              <w:bottom w:val="single" w:sz="8" w:space="0" w:color="000000"/>
              <w:right w:val="single" w:sz="8" w:space="0" w:color="000000"/>
            </w:tcBorders>
            <w:shd w:val="clear" w:color="000000" w:fill="E6E6E6"/>
            <w:vAlign w:val="center"/>
            <w:hideMark/>
          </w:tcPr>
          <w:p w14:paraId="5DF752CB" w14:textId="5F3EBB99" w:rsidR="00B107F1" w:rsidRPr="00B107F1" w:rsidRDefault="00B107F1" w:rsidP="00B107F1">
            <w:pPr>
              <w:jc w:val="right"/>
              <w:rPr>
                <w:rFonts w:ascii="Times New Roman" w:hAnsi="Times New Roman" w:cs="Times New Roman"/>
                <w:sz w:val="20"/>
                <w:szCs w:val="20"/>
              </w:rPr>
            </w:pPr>
            <w:r w:rsidRPr="00B107F1">
              <w:rPr>
                <w:rFonts w:ascii="Times New Roman" w:hAnsi="Times New Roman" w:cs="Times New Roman"/>
                <w:sz w:val="20"/>
                <w:szCs w:val="20"/>
              </w:rPr>
              <w:t xml:space="preserve">                                                       -   </w:t>
            </w:r>
          </w:p>
        </w:tc>
        <w:tc>
          <w:tcPr>
            <w:tcW w:w="1071" w:type="dxa"/>
            <w:tcBorders>
              <w:top w:val="single" w:sz="4" w:space="0" w:color="auto"/>
            </w:tcBorders>
            <w:hideMark/>
          </w:tcPr>
          <w:p w14:paraId="74302550" w14:textId="77777777" w:rsidR="00B107F1" w:rsidRPr="00EB3BFE" w:rsidRDefault="00B107F1" w:rsidP="00B107F1">
            <w:pPr>
              <w:rPr>
                <w:rFonts w:ascii="Times New Roman" w:hAnsi="Times New Roman" w:cs="Times New Roman"/>
                <w:sz w:val="20"/>
                <w:szCs w:val="20"/>
              </w:rPr>
            </w:pPr>
          </w:p>
        </w:tc>
      </w:tr>
      <w:tr w:rsidR="00B107F1" w:rsidRPr="00EB3BFE" w14:paraId="22EA6AE4" w14:textId="77777777" w:rsidTr="00687A2D">
        <w:trPr>
          <w:trHeight w:val="550"/>
        </w:trPr>
        <w:tc>
          <w:tcPr>
            <w:tcW w:w="4118" w:type="dxa"/>
            <w:hideMark/>
          </w:tcPr>
          <w:p w14:paraId="05C07BF2" w14:textId="102A62DA" w:rsidR="00B107F1" w:rsidRPr="00EB3BFE" w:rsidRDefault="00B107F1" w:rsidP="00B107F1">
            <w:pPr>
              <w:rPr>
                <w:rFonts w:ascii="Times New Roman" w:hAnsi="Times New Roman" w:cs="Times New Roman"/>
                <w:sz w:val="20"/>
                <w:szCs w:val="20"/>
              </w:rPr>
            </w:pPr>
            <w:r w:rsidRPr="00EB3BFE">
              <w:rPr>
                <w:rFonts w:ascii="Times New Roman" w:hAnsi="Times New Roman" w:cs="Times New Roman"/>
                <w:sz w:val="20"/>
                <w:szCs w:val="20"/>
              </w:rPr>
              <w:t>Goodwill and intangible assets</w:t>
            </w:r>
          </w:p>
        </w:tc>
        <w:tc>
          <w:tcPr>
            <w:tcW w:w="1973" w:type="dxa"/>
            <w:tcBorders>
              <w:top w:val="nil"/>
              <w:left w:val="nil"/>
              <w:bottom w:val="single" w:sz="8" w:space="0" w:color="000000"/>
              <w:right w:val="single" w:sz="8" w:space="0" w:color="000000"/>
            </w:tcBorders>
            <w:shd w:val="clear" w:color="000000" w:fill="E6E6E6"/>
            <w:vAlign w:val="center"/>
            <w:hideMark/>
          </w:tcPr>
          <w:p w14:paraId="445F9468" w14:textId="04AFD72B" w:rsidR="00B107F1" w:rsidRPr="00B107F1" w:rsidRDefault="00B107F1" w:rsidP="00B107F1">
            <w:pPr>
              <w:jc w:val="right"/>
              <w:rPr>
                <w:rFonts w:ascii="Times New Roman" w:hAnsi="Times New Roman" w:cs="Times New Roman"/>
                <w:sz w:val="20"/>
                <w:szCs w:val="20"/>
              </w:rPr>
            </w:pPr>
            <w:r w:rsidRPr="00B107F1">
              <w:rPr>
                <w:rFonts w:ascii="Times New Roman" w:hAnsi="Times New Roman" w:cs="Times New Roman"/>
                <w:sz w:val="20"/>
                <w:szCs w:val="20"/>
              </w:rPr>
              <w:t> </w:t>
            </w:r>
          </w:p>
        </w:tc>
        <w:tc>
          <w:tcPr>
            <w:tcW w:w="2013" w:type="dxa"/>
            <w:tcBorders>
              <w:top w:val="nil"/>
              <w:left w:val="nil"/>
              <w:bottom w:val="single" w:sz="8" w:space="0" w:color="000000"/>
              <w:right w:val="single" w:sz="8" w:space="0" w:color="000000"/>
            </w:tcBorders>
            <w:shd w:val="clear" w:color="000000" w:fill="E6E6E6"/>
            <w:vAlign w:val="center"/>
            <w:hideMark/>
          </w:tcPr>
          <w:p w14:paraId="21CD3B0A" w14:textId="68DE4663" w:rsidR="00B107F1" w:rsidRPr="00B107F1" w:rsidRDefault="00B107F1" w:rsidP="00B107F1">
            <w:pPr>
              <w:jc w:val="right"/>
              <w:rPr>
                <w:rFonts w:ascii="Times New Roman" w:hAnsi="Times New Roman" w:cs="Times New Roman"/>
                <w:sz w:val="20"/>
                <w:szCs w:val="20"/>
              </w:rPr>
            </w:pPr>
            <w:r w:rsidRPr="00B107F1">
              <w:rPr>
                <w:rFonts w:ascii="Times New Roman" w:hAnsi="Times New Roman" w:cs="Times New Roman"/>
                <w:sz w:val="20"/>
                <w:szCs w:val="20"/>
              </w:rPr>
              <w:t> </w:t>
            </w:r>
          </w:p>
        </w:tc>
        <w:tc>
          <w:tcPr>
            <w:tcW w:w="1071" w:type="dxa"/>
            <w:hideMark/>
          </w:tcPr>
          <w:p w14:paraId="595EBFA1" w14:textId="77777777" w:rsidR="00B107F1" w:rsidRPr="00EB3BFE" w:rsidRDefault="00B107F1" w:rsidP="00B107F1">
            <w:pPr>
              <w:rPr>
                <w:rFonts w:ascii="Times New Roman" w:hAnsi="Times New Roman" w:cs="Times New Roman"/>
                <w:sz w:val="20"/>
                <w:szCs w:val="20"/>
              </w:rPr>
            </w:pPr>
          </w:p>
        </w:tc>
      </w:tr>
      <w:tr w:rsidR="00B107F1" w:rsidRPr="00EB3BFE" w14:paraId="404359D6" w14:textId="77777777" w:rsidTr="00687A2D">
        <w:trPr>
          <w:trHeight w:val="550"/>
        </w:trPr>
        <w:tc>
          <w:tcPr>
            <w:tcW w:w="4118" w:type="dxa"/>
            <w:hideMark/>
          </w:tcPr>
          <w:p w14:paraId="161379C8" w14:textId="50592E9B" w:rsidR="00B107F1" w:rsidRPr="00EB3BFE" w:rsidRDefault="00B107F1" w:rsidP="00B107F1">
            <w:pPr>
              <w:rPr>
                <w:rFonts w:ascii="Times New Roman" w:hAnsi="Times New Roman" w:cs="Times New Roman"/>
                <w:sz w:val="20"/>
                <w:szCs w:val="20"/>
              </w:rPr>
            </w:pPr>
            <w:r w:rsidRPr="00EB3BFE">
              <w:rPr>
                <w:rFonts w:ascii="Times New Roman" w:hAnsi="Times New Roman" w:cs="Times New Roman"/>
                <w:sz w:val="20"/>
                <w:szCs w:val="20"/>
              </w:rPr>
              <w:t>of which goodwill</w:t>
            </w:r>
          </w:p>
        </w:tc>
        <w:tc>
          <w:tcPr>
            <w:tcW w:w="1973" w:type="dxa"/>
            <w:tcBorders>
              <w:top w:val="nil"/>
              <w:left w:val="nil"/>
              <w:bottom w:val="single" w:sz="8" w:space="0" w:color="000000"/>
              <w:right w:val="single" w:sz="8" w:space="0" w:color="000000"/>
            </w:tcBorders>
            <w:shd w:val="clear" w:color="000000" w:fill="E6E6E6"/>
            <w:vAlign w:val="center"/>
            <w:hideMark/>
          </w:tcPr>
          <w:p w14:paraId="0433B60A" w14:textId="28AACE53" w:rsidR="00B107F1" w:rsidRPr="00B107F1" w:rsidRDefault="008F791D" w:rsidP="00B107F1">
            <w:pPr>
              <w:jc w:val="right"/>
              <w:rPr>
                <w:rFonts w:ascii="Times New Roman" w:hAnsi="Times New Roman" w:cs="Times New Roman"/>
                <w:sz w:val="20"/>
                <w:szCs w:val="20"/>
              </w:rPr>
            </w:pPr>
            <w:r>
              <w:rPr>
                <w:rFonts w:ascii="Times New Roman" w:hAnsi="Times New Roman" w:cs="Times New Roman"/>
                <w:sz w:val="20"/>
                <w:szCs w:val="20"/>
              </w:rPr>
              <w:t>-</w:t>
            </w:r>
            <w:r w:rsidR="00B107F1" w:rsidRPr="00B107F1">
              <w:rPr>
                <w:rFonts w:ascii="Times New Roman" w:hAnsi="Times New Roman" w:cs="Times New Roman"/>
                <w:sz w:val="20"/>
                <w:szCs w:val="20"/>
              </w:rPr>
              <w:t> </w:t>
            </w:r>
          </w:p>
        </w:tc>
        <w:tc>
          <w:tcPr>
            <w:tcW w:w="2013" w:type="dxa"/>
            <w:tcBorders>
              <w:top w:val="nil"/>
              <w:left w:val="nil"/>
              <w:bottom w:val="single" w:sz="8" w:space="0" w:color="000000"/>
              <w:right w:val="single" w:sz="8" w:space="0" w:color="000000"/>
            </w:tcBorders>
            <w:shd w:val="clear" w:color="000000" w:fill="CCCCCC"/>
            <w:vAlign w:val="center"/>
            <w:hideMark/>
          </w:tcPr>
          <w:p w14:paraId="4EDB62F1" w14:textId="3DF75D1B" w:rsidR="00B107F1" w:rsidRPr="00B107F1" w:rsidRDefault="00B107F1" w:rsidP="00B107F1">
            <w:pPr>
              <w:jc w:val="right"/>
              <w:rPr>
                <w:rFonts w:ascii="Times New Roman" w:hAnsi="Times New Roman" w:cs="Times New Roman"/>
                <w:sz w:val="20"/>
                <w:szCs w:val="20"/>
              </w:rPr>
            </w:pPr>
            <w:r w:rsidRPr="00B107F1">
              <w:rPr>
                <w:rFonts w:ascii="Times New Roman" w:hAnsi="Times New Roman" w:cs="Times New Roman"/>
                <w:sz w:val="20"/>
                <w:szCs w:val="20"/>
              </w:rPr>
              <w:t xml:space="preserve">                                                       -   </w:t>
            </w:r>
          </w:p>
        </w:tc>
        <w:tc>
          <w:tcPr>
            <w:tcW w:w="1071" w:type="dxa"/>
            <w:hideMark/>
          </w:tcPr>
          <w:p w14:paraId="516F9210" w14:textId="1C3A12E6" w:rsidR="00B107F1" w:rsidRPr="00EB3BFE" w:rsidRDefault="00B107F1" w:rsidP="00B107F1">
            <w:pPr>
              <w:rPr>
                <w:rFonts w:ascii="Times New Roman" w:hAnsi="Times New Roman" w:cs="Times New Roman"/>
                <w:sz w:val="20"/>
                <w:szCs w:val="20"/>
              </w:rPr>
            </w:pPr>
            <w:r w:rsidRPr="00EB3BFE">
              <w:rPr>
                <w:rFonts w:ascii="Times New Roman" w:hAnsi="Times New Roman" w:cs="Times New Roman"/>
                <w:sz w:val="20"/>
                <w:szCs w:val="20"/>
              </w:rPr>
              <w:t>a</w:t>
            </w:r>
          </w:p>
        </w:tc>
      </w:tr>
      <w:tr w:rsidR="00084CCA" w:rsidRPr="00EB3BFE" w14:paraId="40CEA64B" w14:textId="77777777" w:rsidTr="00687A2D">
        <w:trPr>
          <w:trHeight w:val="550"/>
        </w:trPr>
        <w:tc>
          <w:tcPr>
            <w:tcW w:w="4118" w:type="dxa"/>
            <w:hideMark/>
          </w:tcPr>
          <w:p w14:paraId="72DA4167" w14:textId="747D0E2B" w:rsidR="00084CCA" w:rsidRPr="00EB3BFE" w:rsidRDefault="00084CCA" w:rsidP="00084CCA">
            <w:pPr>
              <w:rPr>
                <w:rFonts w:ascii="Times New Roman" w:hAnsi="Times New Roman" w:cs="Times New Roman"/>
                <w:sz w:val="20"/>
                <w:szCs w:val="20"/>
              </w:rPr>
            </w:pPr>
            <w:r w:rsidRPr="00EB3BFE">
              <w:rPr>
                <w:rFonts w:ascii="Times New Roman" w:hAnsi="Times New Roman" w:cs="Times New Roman"/>
                <w:sz w:val="20"/>
                <w:szCs w:val="20"/>
              </w:rPr>
              <w:t>of which other intangibles (excluding MSRs)</w:t>
            </w:r>
          </w:p>
        </w:tc>
        <w:tc>
          <w:tcPr>
            <w:tcW w:w="1973" w:type="dxa"/>
            <w:tcBorders>
              <w:top w:val="nil"/>
              <w:left w:val="nil"/>
              <w:bottom w:val="single" w:sz="8" w:space="0" w:color="000000"/>
              <w:right w:val="single" w:sz="8" w:space="0" w:color="000000"/>
            </w:tcBorders>
            <w:shd w:val="clear" w:color="000000" w:fill="E6E6E6"/>
            <w:hideMark/>
          </w:tcPr>
          <w:p w14:paraId="3A0C0461" w14:textId="45F204B4" w:rsidR="00084CCA" w:rsidRPr="00B107F1" w:rsidRDefault="00A0412C" w:rsidP="00084CCA">
            <w:pPr>
              <w:jc w:val="right"/>
              <w:rPr>
                <w:rFonts w:ascii="Times New Roman" w:hAnsi="Times New Roman" w:cs="Times New Roman"/>
                <w:sz w:val="20"/>
                <w:szCs w:val="20"/>
              </w:rPr>
            </w:pPr>
            <w:r w:rsidRPr="00A0412C">
              <w:rPr>
                <w:rFonts w:ascii="Times New Roman" w:hAnsi="Times New Roman" w:cs="Times New Roman"/>
                <w:sz w:val="20"/>
                <w:szCs w:val="20"/>
              </w:rPr>
              <w:t>4,845</w:t>
            </w:r>
          </w:p>
        </w:tc>
        <w:tc>
          <w:tcPr>
            <w:tcW w:w="2013" w:type="dxa"/>
            <w:tcBorders>
              <w:top w:val="nil"/>
              <w:left w:val="nil"/>
              <w:bottom w:val="single" w:sz="8" w:space="0" w:color="000000"/>
              <w:right w:val="single" w:sz="8" w:space="0" w:color="000000"/>
            </w:tcBorders>
            <w:shd w:val="clear" w:color="000000" w:fill="CCCCCC"/>
            <w:hideMark/>
          </w:tcPr>
          <w:p w14:paraId="7A10CFBB" w14:textId="4035122E" w:rsidR="00084CCA" w:rsidRPr="00B107F1" w:rsidRDefault="00A0412C" w:rsidP="00084CCA">
            <w:pPr>
              <w:jc w:val="right"/>
              <w:rPr>
                <w:rFonts w:ascii="Times New Roman" w:hAnsi="Times New Roman" w:cs="Times New Roman"/>
                <w:sz w:val="20"/>
                <w:szCs w:val="20"/>
              </w:rPr>
            </w:pPr>
            <w:r w:rsidRPr="00A0412C">
              <w:rPr>
                <w:rFonts w:ascii="Times New Roman" w:hAnsi="Times New Roman" w:cs="Times New Roman"/>
                <w:sz w:val="20"/>
                <w:szCs w:val="20"/>
              </w:rPr>
              <w:t>4,845</w:t>
            </w:r>
          </w:p>
        </w:tc>
        <w:tc>
          <w:tcPr>
            <w:tcW w:w="1071" w:type="dxa"/>
            <w:hideMark/>
          </w:tcPr>
          <w:p w14:paraId="71FE389C" w14:textId="55342C9F" w:rsidR="00084CCA" w:rsidRPr="00EB3BFE" w:rsidRDefault="00084CCA" w:rsidP="00084CCA">
            <w:pPr>
              <w:rPr>
                <w:rFonts w:ascii="Times New Roman" w:hAnsi="Times New Roman" w:cs="Times New Roman"/>
                <w:sz w:val="20"/>
                <w:szCs w:val="20"/>
              </w:rPr>
            </w:pPr>
            <w:r w:rsidRPr="00EB3BFE">
              <w:rPr>
                <w:rFonts w:ascii="Times New Roman" w:hAnsi="Times New Roman" w:cs="Times New Roman"/>
                <w:sz w:val="20"/>
                <w:szCs w:val="20"/>
              </w:rPr>
              <w:t>b</w:t>
            </w:r>
          </w:p>
        </w:tc>
      </w:tr>
      <w:tr w:rsidR="00B107F1" w:rsidRPr="00EB3BFE" w14:paraId="1851A2F4" w14:textId="77777777" w:rsidTr="00687A2D">
        <w:trPr>
          <w:trHeight w:val="550"/>
        </w:trPr>
        <w:tc>
          <w:tcPr>
            <w:tcW w:w="4118" w:type="dxa"/>
            <w:hideMark/>
          </w:tcPr>
          <w:p w14:paraId="52CE5B32" w14:textId="28E4BB9E" w:rsidR="00B107F1" w:rsidRPr="00EB3BFE" w:rsidRDefault="00B107F1" w:rsidP="00B107F1">
            <w:pPr>
              <w:rPr>
                <w:rFonts w:ascii="Times New Roman" w:hAnsi="Times New Roman" w:cs="Times New Roman"/>
                <w:sz w:val="20"/>
                <w:szCs w:val="20"/>
              </w:rPr>
            </w:pPr>
            <w:r w:rsidRPr="00EB3BFE">
              <w:rPr>
                <w:rFonts w:ascii="Times New Roman" w:hAnsi="Times New Roman" w:cs="Times New Roman"/>
                <w:sz w:val="20"/>
                <w:szCs w:val="20"/>
              </w:rPr>
              <w:t>of which MSRs</w:t>
            </w:r>
          </w:p>
        </w:tc>
        <w:tc>
          <w:tcPr>
            <w:tcW w:w="1973" w:type="dxa"/>
            <w:tcBorders>
              <w:top w:val="nil"/>
              <w:left w:val="nil"/>
              <w:bottom w:val="single" w:sz="8" w:space="0" w:color="000000"/>
              <w:right w:val="single" w:sz="8" w:space="0" w:color="000000"/>
            </w:tcBorders>
            <w:shd w:val="clear" w:color="000000" w:fill="E6E6E6"/>
            <w:vAlign w:val="center"/>
            <w:hideMark/>
          </w:tcPr>
          <w:p w14:paraId="518D5FBC" w14:textId="2154849C" w:rsidR="00B107F1" w:rsidRPr="00B107F1" w:rsidRDefault="00B107F1" w:rsidP="00B107F1">
            <w:pPr>
              <w:jc w:val="right"/>
              <w:rPr>
                <w:rFonts w:ascii="Times New Roman" w:hAnsi="Times New Roman" w:cs="Times New Roman"/>
                <w:sz w:val="20"/>
                <w:szCs w:val="20"/>
              </w:rPr>
            </w:pPr>
            <w:r w:rsidRPr="00B107F1">
              <w:rPr>
                <w:rFonts w:ascii="Times New Roman" w:hAnsi="Times New Roman" w:cs="Times New Roman"/>
                <w:sz w:val="20"/>
                <w:szCs w:val="20"/>
              </w:rPr>
              <w:t xml:space="preserve">                                                                     -   </w:t>
            </w:r>
          </w:p>
        </w:tc>
        <w:tc>
          <w:tcPr>
            <w:tcW w:w="2013" w:type="dxa"/>
            <w:tcBorders>
              <w:top w:val="nil"/>
              <w:left w:val="nil"/>
              <w:bottom w:val="single" w:sz="8" w:space="0" w:color="000000"/>
              <w:right w:val="single" w:sz="8" w:space="0" w:color="000000"/>
            </w:tcBorders>
            <w:shd w:val="clear" w:color="000000" w:fill="CCCCCC"/>
            <w:vAlign w:val="center"/>
            <w:hideMark/>
          </w:tcPr>
          <w:p w14:paraId="379E8F95" w14:textId="603A485D" w:rsidR="00B107F1" w:rsidRPr="00B107F1" w:rsidRDefault="00B107F1" w:rsidP="00B107F1">
            <w:pPr>
              <w:jc w:val="right"/>
              <w:rPr>
                <w:rFonts w:ascii="Times New Roman" w:hAnsi="Times New Roman" w:cs="Times New Roman"/>
                <w:sz w:val="20"/>
                <w:szCs w:val="20"/>
              </w:rPr>
            </w:pPr>
            <w:r w:rsidRPr="00B107F1">
              <w:rPr>
                <w:rFonts w:ascii="Times New Roman" w:hAnsi="Times New Roman" w:cs="Times New Roman"/>
                <w:sz w:val="20"/>
                <w:szCs w:val="20"/>
              </w:rPr>
              <w:t xml:space="preserve">                                                       -   </w:t>
            </w:r>
          </w:p>
        </w:tc>
        <w:tc>
          <w:tcPr>
            <w:tcW w:w="1071" w:type="dxa"/>
            <w:hideMark/>
          </w:tcPr>
          <w:p w14:paraId="58F70A43" w14:textId="468EF81E" w:rsidR="00B107F1" w:rsidRPr="00EB3BFE" w:rsidRDefault="00B107F1" w:rsidP="00B107F1">
            <w:pPr>
              <w:rPr>
                <w:rFonts w:ascii="Times New Roman" w:hAnsi="Times New Roman" w:cs="Times New Roman"/>
                <w:sz w:val="20"/>
                <w:szCs w:val="20"/>
              </w:rPr>
            </w:pPr>
            <w:r w:rsidRPr="00EB3BFE">
              <w:rPr>
                <w:rFonts w:ascii="Times New Roman" w:hAnsi="Times New Roman" w:cs="Times New Roman"/>
                <w:sz w:val="20"/>
                <w:szCs w:val="20"/>
              </w:rPr>
              <w:t>c</w:t>
            </w:r>
          </w:p>
        </w:tc>
      </w:tr>
      <w:tr w:rsidR="00084CCA" w:rsidRPr="00EB3BFE" w14:paraId="3A0751AA" w14:textId="77777777" w:rsidTr="00687A2D">
        <w:trPr>
          <w:trHeight w:val="550"/>
        </w:trPr>
        <w:tc>
          <w:tcPr>
            <w:tcW w:w="4118" w:type="dxa"/>
            <w:hideMark/>
          </w:tcPr>
          <w:p w14:paraId="0EE532BA" w14:textId="00FB3C06" w:rsidR="00084CCA" w:rsidRPr="00EB3BFE" w:rsidRDefault="00084CCA" w:rsidP="00084CCA">
            <w:pPr>
              <w:rPr>
                <w:rFonts w:ascii="Times New Roman" w:hAnsi="Times New Roman" w:cs="Times New Roman"/>
                <w:sz w:val="20"/>
                <w:szCs w:val="20"/>
              </w:rPr>
            </w:pPr>
            <w:r w:rsidRPr="00EB3BFE">
              <w:rPr>
                <w:rFonts w:ascii="Times New Roman" w:hAnsi="Times New Roman" w:cs="Times New Roman"/>
                <w:sz w:val="20"/>
                <w:szCs w:val="20"/>
              </w:rPr>
              <w:t>Property, plant and equipment</w:t>
            </w:r>
          </w:p>
        </w:tc>
        <w:tc>
          <w:tcPr>
            <w:tcW w:w="1973" w:type="dxa"/>
            <w:tcBorders>
              <w:top w:val="nil"/>
              <w:left w:val="nil"/>
              <w:bottom w:val="single" w:sz="8" w:space="0" w:color="000000"/>
              <w:right w:val="single" w:sz="8" w:space="0" w:color="000000"/>
            </w:tcBorders>
            <w:shd w:val="clear" w:color="000000" w:fill="E6E6E6"/>
            <w:hideMark/>
          </w:tcPr>
          <w:p w14:paraId="09D7B302" w14:textId="62CB6A49" w:rsidR="00084CCA" w:rsidRPr="00B107F1" w:rsidRDefault="00A0412C" w:rsidP="00084CCA">
            <w:pPr>
              <w:jc w:val="right"/>
              <w:rPr>
                <w:rFonts w:ascii="Times New Roman" w:hAnsi="Times New Roman" w:cs="Times New Roman"/>
                <w:sz w:val="20"/>
                <w:szCs w:val="20"/>
              </w:rPr>
            </w:pPr>
            <w:r w:rsidRPr="00A0412C">
              <w:rPr>
                <w:rFonts w:ascii="Times New Roman" w:hAnsi="Times New Roman" w:cs="Times New Roman"/>
                <w:sz w:val="20"/>
                <w:szCs w:val="20"/>
              </w:rPr>
              <w:t>71,893</w:t>
            </w:r>
          </w:p>
        </w:tc>
        <w:tc>
          <w:tcPr>
            <w:tcW w:w="2013" w:type="dxa"/>
            <w:tcBorders>
              <w:top w:val="nil"/>
              <w:left w:val="nil"/>
              <w:bottom w:val="single" w:sz="8" w:space="0" w:color="000000"/>
              <w:right w:val="single" w:sz="8" w:space="0" w:color="000000"/>
            </w:tcBorders>
            <w:shd w:val="clear" w:color="000000" w:fill="E0E0E0"/>
            <w:hideMark/>
          </w:tcPr>
          <w:p w14:paraId="32FB185D" w14:textId="7C4481B1" w:rsidR="00084CCA" w:rsidRPr="00B107F1" w:rsidRDefault="00A0412C" w:rsidP="00084CCA">
            <w:pPr>
              <w:jc w:val="right"/>
              <w:rPr>
                <w:rFonts w:ascii="Times New Roman" w:hAnsi="Times New Roman" w:cs="Times New Roman"/>
                <w:sz w:val="20"/>
                <w:szCs w:val="20"/>
              </w:rPr>
            </w:pPr>
            <w:r w:rsidRPr="00A0412C">
              <w:rPr>
                <w:rFonts w:ascii="Times New Roman" w:hAnsi="Times New Roman" w:cs="Times New Roman"/>
                <w:sz w:val="20"/>
                <w:szCs w:val="20"/>
              </w:rPr>
              <w:t>71,893</w:t>
            </w:r>
          </w:p>
        </w:tc>
        <w:tc>
          <w:tcPr>
            <w:tcW w:w="1071" w:type="dxa"/>
            <w:hideMark/>
          </w:tcPr>
          <w:p w14:paraId="65E269F2" w14:textId="77777777" w:rsidR="00084CCA" w:rsidRPr="00EB3BFE" w:rsidRDefault="00084CCA" w:rsidP="00084CCA">
            <w:pPr>
              <w:rPr>
                <w:rFonts w:ascii="Times New Roman" w:hAnsi="Times New Roman" w:cs="Times New Roman"/>
                <w:sz w:val="20"/>
                <w:szCs w:val="20"/>
              </w:rPr>
            </w:pPr>
          </w:p>
        </w:tc>
      </w:tr>
      <w:tr w:rsidR="00084CCA" w:rsidRPr="00EB3BFE" w14:paraId="51CED59B" w14:textId="77777777" w:rsidTr="00687A2D">
        <w:trPr>
          <w:trHeight w:val="335"/>
        </w:trPr>
        <w:tc>
          <w:tcPr>
            <w:tcW w:w="4118" w:type="dxa"/>
          </w:tcPr>
          <w:p w14:paraId="5EF3196C" w14:textId="4BED3DA7" w:rsidR="00084CCA" w:rsidRPr="009313AC" w:rsidRDefault="00084CCA" w:rsidP="00084CCA">
            <w:pPr>
              <w:rPr>
                <w:rFonts w:ascii="Times New Roman" w:hAnsi="Times New Roman" w:cs="Times New Roman"/>
                <w:sz w:val="20"/>
                <w:szCs w:val="20"/>
              </w:rPr>
            </w:pPr>
            <w:r w:rsidRPr="009313AC">
              <w:rPr>
                <w:rFonts w:ascii="Times New Roman" w:hAnsi="Times New Roman" w:cs="Times New Roman"/>
                <w:sz w:val="20"/>
                <w:szCs w:val="20"/>
              </w:rPr>
              <w:t>Central government securities-bonds</w:t>
            </w:r>
          </w:p>
          <w:p w14:paraId="0AD70861" w14:textId="77777777" w:rsidR="00084CCA" w:rsidRPr="00EB3BFE" w:rsidRDefault="00084CCA" w:rsidP="00084CCA">
            <w:pPr>
              <w:rPr>
                <w:rFonts w:ascii="Times New Roman" w:hAnsi="Times New Roman" w:cs="Times New Roman"/>
                <w:b/>
                <w:bCs/>
                <w:sz w:val="20"/>
                <w:szCs w:val="20"/>
              </w:rPr>
            </w:pPr>
          </w:p>
        </w:tc>
        <w:tc>
          <w:tcPr>
            <w:tcW w:w="1973" w:type="dxa"/>
            <w:tcBorders>
              <w:top w:val="nil"/>
              <w:left w:val="nil"/>
              <w:bottom w:val="single" w:sz="8" w:space="0" w:color="000000"/>
              <w:right w:val="single" w:sz="8" w:space="0" w:color="000000"/>
            </w:tcBorders>
            <w:shd w:val="clear" w:color="000000" w:fill="E6E6E6"/>
          </w:tcPr>
          <w:p w14:paraId="76692E87" w14:textId="40F81E13" w:rsidR="00084CCA" w:rsidRPr="00B107F1" w:rsidRDefault="00A0412C" w:rsidP="00084CCA">
            <w:pPr>
              <w:jc w:val="right"/>
              <w:rPr>
                <w:rFonts w:ascii="Times New Roman" w:hAnsi="Times New Roman" w:cs="Times New Roman"/>
                <w:sz w:val="20"/>
                <w:szCs w:val="20"/>
              </w:rPr>
            </w:pPr>
            <w:r w:rsidRPr="00A0412C">
              <w:rPr>
                <w:rFonts w:ascii="Times New Roman" w:hAnsi="Times New Roman" w:cs="Times New Roman"/>
                <w:sz w:val="20"/>
                <w:szCs w:val="20"/>
              </w:rPr>
              <w:t>146,856</w:t>
            </w:r>
          </w:p>
        </w:tc>
        <w:tc>
          <w:tcPr>
            <w:tcW w:w="2013" w:type="dxa"/>
            <w:tcBorders>
              <w:top w:val="nil"/>
              <w:left w:val="nil"/>
              <w:bottom w:val="single" w:sz="8" w:space="0" w:color="000000"/>
              <w:right w:val="single" w:sz="8" w:space="0" w:color="000000"/>
            </w:tcBorders>
            <w:shd w:val="clear" w:color="000000" w:fill="E0E0E0"/>
          </w:tcPr>
          <w:p w14:paraId="3C2AE136" w14:textId="7F1AD318" w:rsidR="00084CCA" w:rsidRPr="00B107F1" w:rsidRDefault="00A0412C" w:rsidP="00084CCA">
            <w:pPr>
              <w:jc w:val="right"/>
              <w:rPr>
                <w:rFonts w:ascii="Times New Roman" w:hAnsi="Times New Roman" w:cs="Times New Roman"/>
                <w:sz w:val="20"/>
                <w:szCs w:val="20"/>
              </w:rPr>
            </w:pPr>
            <w:r w:rsidRPr="00A0412C">
              <w:rPr>
                <w:rFonts w:ascii="Times New Roman" w:hAnsi="Times New Roman" w:cs="Times New Roman"/>
                <w:sz w:val="20"/>
                <w:szCs w:val="20"/>
              </w:rPr>
              <w:t>146,856</w:t>
            </w:r>
          </w:p>
        </w:tc>
        <w:tc>
          <w:tcPr>
            <w:tcW w:w="1071" w:type="dxa"/>
          </w:tcPr>
          <w:p w14:paraId="540EAB4F" w14:textId="77777777" w:rsidR="00084CCA" w:rsidRPr="00EB3BFE" w:rsidRDefault="00084CCA" w:rsidP="00084CCA">
            <w:pPr>
              <w:rPr>
                <w:rFonts w:ascii="Times New Roman" w:hAnsi="Times New Roman" w:cs="Times New Roman"/>
                <w:b/>
                <w:bCs/>
                <w:sz w:val="20"/>
                <w:szCs w:val="20"/>
              </w:rPr>
            </w:pPr>
          </w:p>
        </w:tc>
      </w:tr>
      <w:tr w:rsidR="00084CCA" w:rsidRPr="00EB3BFE" w14:paraId="12C68011" w14:textId="77777777" w:rsidTr="00687A2D">
        <w:trPr>
          <w:trHeight w:val="335"/>
        </w:trPr>
        <w:tc>
          <w:tcPr>
            <w:tcW w:w="4118" w:type="dxa"/>
            <w:hideMark/>
          </w:tcPr>
          <w:p w14:paraId="45D4BE0D" w14:textId="4EE3E5F1" w:rsidR="00084CCA" w:rsidRPr="00EB3BFE" w:rsidRDefault="00084CCA" w:rsidP="00084CCA">
            <w:pPr>
              <w:rPr>
                <w:rFonts w:ascii="Times New Roman" w:hAnsi="Times New Roman" w:cs="Times New Roman"/>
                <w:b/>
                <w:bCs/>
                <w:sz w:val="20"/>
                <w:szCs w:val="20"/>
              </w:rPr>
            </w:pPr>
            <w:r w:rsidRPr="00EB3BFE">
              <w:rPr>
                <w:rFonts w:ascii="Times New Roman" w:hAnsi="Times New Roman" w:cs="Times New Roman"/>
                <w:b/>
                <w:bCs/>
                <w:sz w:val="20"/>
                <w:szCs w:val="20"/>
              </w:rPr>
              <w:t>Total assets</w:t>
            </w:r>
          </w:p>
        </w:tc>
        <w:tc>
          <w:tcPr>
            <w:tcW w:w="1973" w:type="dxa"/>
            <w:tcBorders>
              <w:top w:val="nil"/>
              <w:left w:val="nil"/>
              <w:bottom w:val="single" w:sz="8" w:space="0" w:color="000000"/>
              <w:right w:val="single" w:sz="8" w:space="0" w:color="000000"/>
            </w:tcBorders>
            <w:shd w:val="clear" w:color="000000" w:fill="E0E0E0"/>
            <w:hideMark/>
          </w:tcPr>
          <w:p w14:paraId="0D8BC3A8" w14:textId="6E5152F9" w:rsidR="00084CCA" w:rsidRPr="00B107F1" w:rsidRDefault="00A0412C" w:rsidP="00084CCA">
            <w:pPr>
              <w:jc w:val="right"/>
              <w:rPr>
                <w:rFonts w:ascii="Times New Roman" w:hAnsi="Times New Roman" w:cs="Times New Roman"/>
                <w:b/>
                <w:bCs/>
                <w:sz w:val="20"/>
                <w:szCs w:val="20"/>
              </w:rPr>
            </w:pPr>
            <w:r w:rsidRPr="00A0412C">
              <w:rPr>
                <w:rFonts w:ascii="Times New Roman" w:hAnsi="Times New Roman" w:cs="Times New Roman"/>
                <w:b/>
                <w:bCs/>
                <w:sz w:val="20"/>
                <w:szCs w:val="20"/>
              </w:rPr>
              <w:t>4,670,942</w:t>
            </w:r>
          </w:p>
        </w:tc>
        <w:tc>
          <w:tcPr>
            <w:tcW w:w="2013" w:type="dxa"/>
            <w:tcBorders>
              <w:top w:val="nil"/>
              <w:left w:val="nil"/>
              <w:bottom w:val="single" w:sz="8" w:space="0" w:color="000000"/>
              <w:right w:val="single" w:sz="8" w:space="0" w:color="000000"/>
            </w:tcBorders>
            <w:shd w:val="clear" w:color="000000" w:fill="E0E0E0"/>
            <w:hideMark/>
          </w:tcPr>
          <w:p w14:paraId="45DDA9B8" w14:textId="79625477" w:rsidR="00084CCA" w:rsidRPr="00B107F1" w:rsidRDefault="00A0412C" w:rsidP="00084CCA">
            <w:pPr>
              <w:jc w:val="right"/>
              <w:rPr>
                <w:rFonts w:ascii="Times New Roman" w:hAnsi="Times New Roman" w:cs="Times New Roman"/>
                <w:b/>
                <w:bCs/>
                <w:sz w:val="20"/>
                <w:szCs w:val="20"/>
              </w:rPr>
            </w:pPr>
            <w:r w:rsidRPr="00A0412C">
              <w:rPr>
                <w:rFonts w:ascii="Times New Roman" w:hAnsi="Times New Roman" w:cs="Times New Roman"/>
                <w:b/>
                <w:bCs/>
                <w:sz w:val="20"/>
                <w:szCs w:val="20"/>
              </w:rPr>
              <w:t>4,670,942</w:t>
            </w:r>
          </w:p>
        </w:tc>
        <w:tc>
          <w:tcPr>
            <w:tcW w:w="1071" w:type="dxa"/>
            <w:hideMark/>
          </w:tcPr>
          <w:p w14:paraId="63C4DFB1" w14:textId="77777777" w:rsidR="00084CCA" w:rsidRPr="00EB3BFE" w:rsidRDefault="00084CCA" w:rsidP="00084CCA">
            <w:pPr>
              <w:rPr>
                <w:rFonts w:ascii="Times New Roman" w:hAnsi="Times New Roman" w:cs="Times New Roman"/>
                <w:b/>
                <w:bCs/>
                <w:sz w:val="20"/>
                <w:szCs w:val="20"/>
              </w:rPr>
            </w:pPr>
          </w:p>
        </w:tc>
      </w:tr>
      <w:tr w:rsidR="004A096A" w:rsidRPr="00EB3BFE" w14:paraId="7CD1A1EF" w14:textId="77777777" w:rsidTr="007A7870">
        <w:trPr>
          <w:trHeight w:val="335"/>
        </w:trPr>
        <w:tc>
          <w:tcPr>
            <w:tcW w:w="9175" w:type="dxa"/>
            <w:gridSpan w:val="4"/>
            <w:hideMark/>
          </w:tcPr>
          <w:p w14:paraId="642BBBD4" w14:textId="6B1020E4" w:rsidR="004A096A" w:rsidRPr="00EB3BFE" w:rsidRDefault="004A096A" w:rsidP="004A096A">
            <w:pPr>
              <w:rPr>
                <w:rFonts w:ascii="Times New Roman" w:hAnsi="Times New Roman" w:cs="Times New Roman"/>
                <w:b/>
                <w:bCs/>
                <w:sz w:val="20"/>
                <w:szCs w:val="20"/>
              </w:rPr>
            </w:pPr>
            <w:r w:rsidRPr="00EB3BFE">
              <w:rPr>
                <w:rFonts w:ascii="Times New Roman" w:hAnsi="Times New Roman" w:cs="Times New Roman"/>
                <w:b/>
                <w:bCs/>
                <w:sz w:val="20"/>
                <w:szCs w:val="20"/>
              </w:rPr>
              <w:t>Liabilities</w:t>
            </w:r>
          </w:p>
        </w:tc>
      </w:tr>
      <w:tr w:rsidR="00084CCA" w:rsidRPr="00EB3BFE" w14:paraId="2709C816" w14:textId="77777777" w:rsidTr="00687A2D">
        <w:trPr>
          <w:trHeight w:val="550"/>
        </w:trPr>
        <w:tc>
          <w:tcPr>
            <w:tcW w:w="4118" w:type="dxa"/>
            <w:hideMark/>
          </w:tcPr>
          <w:p w14:paraId="113E3993" w14:textId="4FFBE4C3" w:rsidR="00084CCA" w:rsidRPr="00EB3BFE" w:rsidRDefault="00084CCA" w:rsidP="00084CCA">
            <w:pPr>
              <w:rPr>
                <w:rFonts w:ascii="Times New Roman" w:hAnsi="Times New Roman" w:cs="Times New Roman"/>
                <w:sz w:val="20"/>
                <w:szCs w:val="20"/>
              </w:rPr>
            </w:pPr>
            <w:r w:rsidRPr="00EB3BFE">
              <w:rPr>
                <w:rFonts w:ascii="Times New Roman" w:hAnsi="Times New Roman" w:cs="Times New Roman"/>
                <w:sz w:val="20"/>
                <w:szCs w:val="20"/>
              </w:rPr>
              <w:t>Deposits from banks</w:t>
            </w:r>
          </w:p>
        </w:tc>
        <w:tc>
          <w:tcPr>
            <w:tcW w:w="1973" w:type="dxa"/>
            <w:tcBorders>
              <w:top w:val="nil"/>
              <w:left w:val="nil"/>
              <w:bottom w:val="single" w:sz="8" w:space="0" w:color="000000"/>
              <w:right w:val="single" w:sz="8" w:space="0" w:color="000000"/>
            </w:tcBorders>
            <w:shd w:val="clear" w:color="000000" w:fill="E6E6E6"/>
            <w:hideMark/>
          </w:tcPr>
          <w:p w14:paraId="1B3377AC" w14:textId="35CE28D7" w:rsidR="00084CCA" w:rsidRPr="00B107F1" w:rsidRDefault="00A0412C" w:rsidP="00084CCA">
            <w:pPr>
              <w:jc w:val="right"/>
              <w:rPr>
                <w:rFonts w:ascii="Times New Roman" w:hAnsi="Times New Roman" w:cs="Times New Roman"/>
                <w:sz w:val="20"/>
                <w:szCs w:val="20"/>
              </w:rPr>
            </w:pPr>
            <w:r w:rsidRPr="00A0412C">
              <w:rPr>
                <w:rFonts w:ascii="Times New Roman" w:hAnsi="Times New Roman" w:cs="Times New Roman"/>
                <w:sz w:val="20"/>
                <w:szCs w:val="20"/>
              </w:rPr>
              <w:t>57,208</w:t>
            </w:r>
          </w:p>
        </w:tc>
        <w:tc>
          <w:tcPr>
            <w:tcW w:w="2013" w:type="dxa"/>
            <w:tcBorders>
              <w:top w:val="nil"/>
              <w:left w:val="nil"/>
              <w:bottom w:val="single" w:sz="8" w:space="0" w:color="000000"/>
              <w:right w:val="single" w:sz="8" w:space="0" w:color="000000"/>
            </w:tcBorders>
            <w:shd w:val="clear" w:color="000000" w:fill="E0E0E0"/>
            <w:hideMark/>
          </w:tcPr>
          <w:p w14:paraId="2082CEF6" w14:textId="2462746A" w:rsidR="00084CCA" w:rsidRPr="00B107F1" w:rsidRDefault="00A0412C" w:rsidP="00084CCA">
            <w:pPr>
              <w:jc w:val="right"/>
              <w:rPr>
                <w:rFonts w:ascii="Times New Roman" w:hAnsi="Times New Roman" w:cs="Times New Roman"/>
                <w:sz w:val="20"/>
                <w:szCs w:val="20"/>
              </w:rPr>
            </w:pPr>
            <w:r w:rsidRPr="00A0412C">
              <w:rPr>
                <w:rFonts w:ascii="Times New Roman" w:hAnsi="Times New Roman" w:cs="Times New Roman"/>
                <w:sz w:val="20"/>
                <w:szCs w:val="20"/>
              </w:rPr>
              <w:t>57,208</w:t>
            </w:r>
          </w:p>
        </w:tc>
        <w:tc>
          <w:tcPr>
            <w:tcW w:w="1071" w:type="dxa"/>
            <w:hideMark/>
          </w:tcPr>
          <w:p w14:paraId="554A8629" w14:textId="77777777" w:rsidR="00084CCA" w:rsidRPr="00EB3BFE" w:rsidRDefault="00084CCA" w:rsidP="00084CCA">
            <w:pPr>
              <w:rPr>
                <w:rFonts w:ascii="Times New Roman" w:hAnsi="Times New Roman" w:cs="Times New Roman"/>
                <w:sz w:val="20"/>
                <w:szCs w:val="20"/>
              </w:rPr>
            </w:pPr>
          </w:p>
        </w:tc>
      </w:tr>
      <w:tr w:rsidR="00084CCA" w:rsidRPr="00EB3BFE" w14:paraId="79C053E6" w14:textId="77777777" w:rsidTr="00687A2D">
        <w:trPr>
          <w:trHeight w:val="550"/>
        </w:trPr>
        <w:tc>
          <w:tcPr>
            <w:tcW w:w="4118" w:type="dxa"/>
            <w:hideMark/>
          </w:tcPr>
          <w:p w14:paraId="3D4DAAC4" w14:textId="6AA220E6" w:rsidR="00084CCA" w:rsidRPr="00EB3BFE" w:rsidRDefault="00084CCA" w:rsidP="00084CCA">
            <w:pPr>
              <w:rPr>
                <w:rFonts w:ascii="Times New Roman" w:hAnsi="Times New Roman" w:cs="Times New Roman"/>
                <w:sz w:val="20"/>
                <w:szCs w:val="20"/>
              </w:rPr>
            </w:pPr>
            <w:r w:rsidRPr="00EB3BFE">
              <w:rPr>
                <w:rFonts w:ascii="Times New Roman" w:hAnsi="Times New Roman" w:cs="Times New Roman"/>
                <w:sz w:val="20"/>
                <w:szCs w:val="20"/>
              </w:rPr>
              <w:t>Items in the course of collection due to other banks</w:t>
            </w:r>
          </w:p>
        </w:tc>
        <w:tc>
          <w:tcPr>
            <w:tcW w:w="1973" w:type="dxa"/>
            <w:tcBorders>
              <w:top w:val="nil"/>
              <w:left w:val="nil"/>
              <w:bottom w:val="single" w:sz="8" w:space="0" w:color="000000"/>
              <w:right w:val="single" w:sz="8" w:space="0" w:color="000000"/>
            </w:tcBorders>
            <w:shd w:val="clear" w:color="000000" w:fill="E6E6E6"/>
            <w:hideMark/>
          </w:tcPr>
          <w:p w14:paraId="679CF293" w14:textId="1FF1D5C0" w:rsidR="00084CCA" w:rsidRPr="00B107F1" w:rsidRDefault="00084CCA" w:rsidP="00084CCA">
            <w:pPr>
              <w:jc w:val="right"/>
              <w:rPr>
                <w:rFonts w:ascii="Times New Roman" w:hAnsi="Times New Roman" w:cs="Times New Roman"/>
                <w:sz w:val="20"/>
                <w:szCs w:val="20"/>
              </w:rPr>
            </w:pPr>
            <w:r w:rsidRPr="00B107F1">
              <w:rPr>
                <w:rFonts w:ascii="Times New Roman" w:hAnsi="Times New Roman" w:cs="Times New Roman"/>
                <w:sz w:val="20"/>
                <w:szCs w:val="20"/>
              </w:rPr>
              <w:t xml:space="preserve"> -   </w:t>
            </w:r>
          </w:p>
        </w:tc>
        <w:tc>
          <w:tcPr>
            <w:tcW w:w="2013" w:type="dxa"/>
            <w:tcBorders>
              <w:top w:val="nil"/>
              <w:left w:val="nil"/>
              <w:bottom w:val="single" w:sz="8" w:space="0" w:color="000000"/>
              <w:right w:val="single" w:sz="8" w:space="0" w:color="000000"/>
            </w:tcBorders>
            <w:shd w:val="clear" w:color="000000" w:fill="E0E0E0"/>
            <w:hideMark/>
          </w:tcPr>
          <w:p w14:paraId="0B12D549" w14:textId="6E3C2703" w:rsidR="00084CCA" w:rsidRPr="00B107F1" w:rsidRDefault="008F791D" w:rsidP="00084CCA">
            <w:pPr>
              <w:jc w:val="right"/>
              <w:rPr>
                <w:rFonts w:ascii="Times New Roman" w:hAnsi="Times New Roman" w:cs="Times New Roman"/>
                <w:sz w:val="20"/>
                <w:szCs w:val="20"/>
              </w:rPr>
            </w:pPr>
            <w:r>
              <w:rPr>
                <w:rFonts w:ascii="Times New Roman" w:hAnsi="Times New Roman" w:cs="Times New Roman"/>
                <w:sz w:val="20"/>
                <w:szCs w:val="20"/>
              </w:rPr>
              <w:t>-</w:t>
            </w:r>
          </w:p>
        </w:tc>
        <w:tc>
          <w:tcPr>
            <w:tcW w:w="1071" w:type="dxa"/>
            <w:hideMark/>
          </w:tcPr>
          <w:p w14:paraId="6C8D09DD" w14:textId="77777777" w:rsidR="00084CCA" w:rsidRPr="00EB3BFE" w:rsidRDefault="00084CCA" w:rsidP="00084CCA">
            <w:pPr>
              <w:rPr>
                <w:rFonts w:ascii="Times New Roman" w:hAnsi="Times New Roman" w:cs="Times New Roman"/>
                <w:sz w:val="20"/>
                <w:szCs w:val="20"/>
              </w:rPr>
            </w:pPr>
          </w:p>
        </w:tc>
      </w:tr>
      <w:tr w:rsidR="00084CCA" w:rsidRPr="00EB3BFE" w14:paraId="7054A6C2" w14:textId="77777777" w:rsidTr="00687A2D">
        <w:trPr>
          <w:trHeight w:val="550"/>
        </w:trPr>
        <w:tc>
          <w:tcPr>
            <w:tcW w:w="4118" w:type="dxa"/>
            <w:hideMark/>
          </w:tcPr>
          <w:p w14:paraId="625F9F0E" w14:textId="69F645E1" w:rsidR="00084CCA" w:rsidRPr="00EB3BFE" w:rsidRDefault="00084CCA" w:rsidP="00084CCA">
            <w:pPr>
              <w:rPr>
                <w:rFonts w:ascii="Times New Roman" w:hAnsi="Times New Roman" w:cs="Times New Roman"/>
                <w:sz w:val="20"/>
                <w:szCs w:val="20"/>
              </w:rPr>
            </w:pPr>
            <w:r w:rsidRPr="00EB3BFE">
              <w:rPr>
                <w:rFonts w:ascii="Times New Roman" w:hAnsi="Times New Roman" w:cs="Times New Roman"/>
                <w:sz w:val="20"/>
                <w:szCs w:val="20"/>
              </w:rPr>
              <w:t>Customer accounts</w:t>
            </w:r>
          </w:p>
        </w:tc>
        <w:tc>
          <w:tcPr>
            <w:tcW w:w="1973" w:type="dxa"/>
            <w:tcBorders>
              <w:top w:val="nil"/>
              <w:left w:val="nil"/>
              <w:bottom w:val="single" w:sz="8" w:space="0" w:color="000000"/>
              <w:right w:val="single" w:sz="8" w:space="0" w:color="000000"/>
            </w:tcBorders>
            <w:shd w:val="clear" w:color="000000" w:fill="E6E6E6"/>
            <w:hideMark/>
          </w:tcPr>
          <w:p w14:paraId="0965C9B6" w14:textId="0909CA88" w:rsidR="00084CCA" w:rsidRPr="00B107F1" w:rsidRDefault="00A0412C" w:rsidP="00084CCA">
            <w:pPr>
              <w:jc w:val="right"/>
              <w:rPr>
                <w:rFonts w:ascii="Times New Roman" w:hAnsi="Times New Roman" w:cs="Times New Roman"/>
                <w:sz w:val="20"/>
                <w:szCs w:val="20"/>
              </w:rPr>
            </w:pPr>
            <w:r w:rsidRPr="00A0412C">
              <w:rPr>
                <w:rFonts w:ascii="Times New Roman" w:hAnsi="Times New Roman" w:cs="Times New Roman"/>
                <w:sz w:val="20"/>
                <w:szCs w:val="20"/>
              </w:rPr>
              <w:t>3,561,536</w:t>
            </w:r>
          </w:p>
        </w:tc>
        <w:tc>
          <w:tcPr>
            <w:tcW w:w="2013" w:type="dxa"/>
            <w:tcBorders>
              <w:top w:val="nil"/>
              <w:left w:val="nil"/>
              <w:bottom w:val="single" w:sz="8" w:space="0" w:color="000000"/>
              <w:right w:val="single" w:sz="8" w:space="0" w:color="000000"/>
            </w:tcBorders>
            <w:shd w:val="clear" w:color="000000" w:fill="E0E0E0"/>
            <w:hideMark/>
          </w:tcPr>
          <w:p w14:paraId="20F7F4A1" w14:textId="6BAD0D46" w:rsidR="00084CCA" w:rsidRPr="00B107F1" w:rsidRDefault="00A0412C" w:rsidP="00084CCA">
            <w:pPr>
              <w:jc w:val="right"/>
              <w:rPr>
                <w:rFonts w:ascii="Times New Roman" w:hAnsi="Times New Roman" w:cs="Times New Roman"/>
                <w:sz w:val="20"/>
                <w:szCs w:val="20"/>
              </w:rPr>
            </w:pPr>
            <w:r w:rsidRPr="00A0412C">
              <w:rPr>
                <w:rFonts w:ascii="Times New Roman" w:hAnsi="Times New Roman" w:cs="Times New Roman"/>
                <w:sz w:val="20"/>
                <w:szCs w:val="20"/>
              </w:rPr>
              <w:t>3,561,536</w:t>
            </w:r>
          </w:p>
        </w:tc>
        <w:tc>
          <w:tcPr>
            <w:tcW w:w="1071" w:type="dxa"/>
            <w:hideMark/>
          </w:tcPr>
          <w:p w14:paraId="63709017" w14:textId="77777777" w:rsidR="00084CCA" w:rsidRPr="00EB3BFE" w:rsidRDefault="00084CCA" w:rsidP="00084CCA">
            <w:pPr>
              <w:rPr>
                <w:rFonts w:ascii="Times New Roman" w:hAnsi="Times New Roman" w:cs="Times New Roman"/>
                <w:sz w:val="20"/>
                <w:szCs w:val="20"/>
              </w:rPr>
            </w:pPr>
          </w:p>
        </w:tc>
      </w:tr>
      <w:tr w:rsidR="00084CCA" w:rsidRPr="00EB3BFE" w14:paraId="2C46DB32" w14:textId="77777777" w:rsidTr="00687A2D">
        <w:trPr>
          <w:trHeight w:val="550"/>
        </w:trPr>
        <w:tc>
          <w:tcPr>
            <w:tcW w:w="4118" w:type="dxa"/>
            <w:hideMark/>
          </w:tcPr>
          <w:p w14:paraId="7A8E4999" w14:textId="4427AA49" w:rsidR="00084CCA" w:rsidRPr="00EB3BFE" w:rsidRDefault="00084CCA" w:rsidP="00084CCA">
            <w:pPr>
              <w:rPr>
                <w:rFonts w:ascii="Times New Roman" w:hAnsi="Times New Roman" w:cs="Times New Roman"/>
                <w:sz w:val="20"/>
                <w:szCs w:val="20"/>
              </w:rPr>
            </w:pPr>
            <w:r w:rsidRPr="00EB3BFE">
              <w:rPr>
                <w:rFonts w:ascii="Times New Roman" w:hAnsi="Times New Roman" w:cs="Times New Roman"/>
                <w:sz w:val="20"/>
                <w:szCs w:val="20"/>
              </w:rPr>
              <w:t>Repurchase agreements and other similar secured borrowing</w:t>
            </w:r>
          </w:p>
        </w:tc>
        <w:tc>
          <w:tcPr>
            <w:tcW w:w="1973" w:type="dxa"/>
            <w:tcBorders>
              <w:top w:val="nil"/>
              <w:left w:val="nil"/>
              <w:bottom w:val="single" w:sz="8" w:space="0" w:color="000000"/>
              <w:right w:val="single" w:sz="8" w:space="0" w:color="000000"/>
            </w:tcBorders>
            <w:shd w:val="clear" w:color="000000" w:fill="E6E6E6"/>
            <w:hideMark/>
          </w:tcPr>
          <w:p w14:paraId="3FAA6CCA" w14:textId="73FC5055" w:rsidR="00084CCA" w:rsidRPr="00B107F1" w:rsidRDefault="00A0412C" w:rsidP="00084CCA">
            <w:pPr>
              <w:jc w:val="right"/>
              <w:rPr>
                <w:rFonts w:ascii="Times New Roman" w:hAnsi="Times New Roman" w:cs="Times New Roman"/>
                <w:sz w:val="20"/>
                <w:szCs w:val="20"/>
              </w:rPr>
            </w:pPr>
            <w:r w:rsidRPr="00A0412C">
              <w:rPr>
                <w:rFonts w:ascii="Times New Roman" w:hAnsi="Times New Roman" w:cs="Times New Roman"/>
                <w:sz w:val="20"/>
                <w:szCs w:val="20"/>
              </w:rPr>
              <w:t>330,668</w:t>
            </w:r>
          </w:p>
        </w:tc>
        <w:tc>
          <w:tcPr>
            <w:tcW w:w="2013" w:type="dxa"/>
            <w:tcBorders>
              <w:top w:val="nil"/>
              <w:left w:val="nil"/>
              <w:bottom w:val="single" w:sz="8" w:space="0" w:color="000000"/>
              <w:right w:val="single" w:sz="8" w:space="0" w:color="000000"/>
            </w:tcBorders>
            <w:shd w:val="clear" w:color="000000" w:fill="E0E0E0"/>
            <w:hideMark/>
          </w:tcPr>
          <w:p w14:paraId="081C651E" w14:textId="5267801F" w:rsidR="00084CCA" w:rsidRPr="00B107F1" w:rsidRDefault="00A0412C" w:rsidP="00084CCA">
            <w:pPr>
              <w:jc w:val="right"/>
              <w:rPr>
                <w:rFonts w:ascii="Times New Roman" w:hAnsi="Times New Roman" w:cs="Times New Roman"/>
                <w:sz w:val="20"/>
                <w:szCs w:val="20"/>
              </w:rPr>
            </w:pPr>
            <w:r w:rsidRPr="00A0412C">
              <w:rPr>
                <w:rFonts w:ascii="Times New Roman" w:hAnsi="Times New Roman" w:cs="Times New Roman"/>
                <w:sz w:val="20"/>
                <w:szCs w:val="20"/>
              </w:rPr>
              <w:t>330,668</w:t>
            </w:r>
          </w:p>
        </w:tc>
        <w:tc>
          <w:tcPr>
            <w:tcW w:w="1071" w:type="dxa"/>
            <w:hideMark/>
          </w:tcPr>
          <w:p w14:paraId="445FDA4F" w14:textId="77777777" w:rsidR="00084CCA" w:rsidRPr="00EB3BFE" w:rsidRDefault="00084CCA" w:rsidP="00084CCA">
            <w:pPr>
              <w:rPr>
                <w:rFonts w:ascii="Times New Roman" w:hAnsi="Times New Roman" w:cs="Times New Roman"/>
                <w:sz w:val="20"/>
                <w:szCs w:val="20"/>
              </w:rPr>
            </w:pPr>
          </w:p>
        </w:tc>
      </w:tr>
      <w:tr w:rsidR="00B107F1" w:rsidRPr="00EB3BFE" w14:paraId="360529AD" w14:textId="77777777" w:rsidTr="00687A2D">
        <w:trPr>
          <w:trHeight w:val="550"/>
        </w:trPr>
        <w:tc>
          <w:tcPr>
            <w:tcW w:w="4118" w:type="dxa"/>
            <w:hideMark/>
          </w:tcPr>
          <w:p w14:paraId="3553E67B" w14:textId="1781FED7" w:rsidR="00B107F1" w:rsidRPr="00EB3BFE" w:rsidRDefault="00B107F1" w:rsidP="00B107F1">
            <w:pPr>
              <w:rPr>
                <w:rFonts w:ascii="Times New Roman" w:hAnsi="Times New Roman" w:cs="Times New Roman"/>
                <w:sz w:val="20"/>
                <w:szCs w:val="20"/>
              </w:rPr>
            </w:pPr>
            <w:r w:rsidRPr="00EB3BFE">
              <w:rPr>
                <w:rFonts w:ascii="Times New Roman" w:hAnsi="Times New Roman" w:cs="Times New Roman"/>
                <w:sz w:val="20"/>
                <w:szCs w:val="20"/>
              </w:rPr>
              <w:t>Trading portfolio liabilities</w:t>
            </w:r>
          </w:p>
        </w:tc>
        <w:tc>
          <w:tcPr>
            <w:tcW w:w="1973" w:type="dxa"/>
            <w:tcBorders>
              <w:top w:val="nil"/>
              <w:left w:val="nil"/>
              <w:bottom w:val="single" w:sz="8" w:space="0" w:color="000000"/>
              <w:right w:val="single" w:sz="8" w:space="0" w:color="000000"/>
            </w:tcBorders>
            <w:shd w:val="clear" w:color="000000" w:fill="E6E6E6"/>
            <w:vAlign w:val="center"/>
            <w:hideMark/>
          </w:tcPr>
          <w:p w14:paraId="6EBDC3F0" w14:textId="2C2B3BAD" w:rsidR="00B107F1" w:rsidRPr="00B107F1" w:rsidRDefault="00BA3196" w:rsidP="00B107F1">
            <w:pPr>
              <w:jc w:val="right"/>
              <w:rPr>
                <w:rFonts w:ascii="Times New Roman" w:hAnsi="Times New Roman" w:cs="Times New Roman"/>
                <w:sz w:val="20"/>
                <w:szCs w:val="20"/>
              </w:rPr>
            </w:pPr>
            <w:r>
              <w:rPr>
                <w:rFonts w:ascii="Times New Roman" w:hAnsi="Times New Roman" w:cs="Times New Roman"/>
                <w:sz w:val="20"/>
                <w:szCs w:val="20"/>
              </w:rPr>
              <w:t>-</w:t>
            </w:r>
          </w:p>
        </w:tc>
        <w:tc>
          <w:tcPr>
            <w:tcW w:w="2013" w:type="dxa"/>
            <w:tcBorders>
              <w:top w:val="nil"/>
              <w:left w:val="nil"/>
              <w:bottom w:val="single" w:sz="8" w:space="0" w:color="000000"/>
              <w:right w:val="single" w:sz="8" w:space="0" w:color="000000"/>
            </w:tcBorders>
            <w:shd w:val="clear" w:color="000000" w:fill="E0E0E0"/>
            <w:vAlign w:val="center"/>
            <w:hideMark/>
          </w:tcPr>
          <w:p w14:paraId="0112C46E" w14:textId="5272C88A" w:rsidR="00B107F1" w:rsidRPr="00B107F1" w:rsidRDefault="00BA3196" w:rsidP="00B107F1">
            <w:pPr>
              <w:jc w:val="right"/>
              <w:rPr>
                <w:rFonts w:ascii="Times New Roman" w:hAnsi="Times New Roman" w:cs="Times New Roman"/>
                <w:sz w:val="20"/>
                <w:szCs w:val="20"/>
              </w:rPr>
            </w:pPr>
            <w:r>
              <w:rPr>
                <w:rFonts w:ascii="Times New Roman" w:hAnsi="Times New Roman" w:cs="Times New Roman"/>
                <w:sz w:val="20"/>
                <w:szCs w:val="20"/>
              </w:rPr>
              <w:t>-</w:t>
            </w:r>
          </w:p>
        </w:tc>
        <w:tc>
          <w:tcPr>
            <w:tcW w:w="1071" w:type="dxa"/>
            <w:hideMark/>
          </w:tcPr>
          <w:p w14:paraId="4806555A" w14:textId="77777777" w:rsidR="00B107F1" w:rsidRPr="00EB3BFE" w:rsidRDefault="00B107F1" w:rsidP="00B107F1">
            <w:pPr>
              <w:rPr>
                <w:rFonts w:ascii="Times New Roman" w:hAnsi="Times New Roman" w:cs="Times New Roman"/>
                <w:sz w:val="20"/>
                <w:szCs w:val="20"/>
              </w:rPr>
            </w:pPr>
          </w:p>
        </w:tc>
      </w:tr>
      <w:tr w:rsidR="00B107F1" w:rsidRPr="00EB3BFE" w14:paraId="4F97C27E" w14:textId="77777777" w:rsidTr="00BA3196">
        <w:trPr>
          <w:trHeight w:val="550"/>
        </w:trPr>
        <w:tc>
          <w:tcPr>
            <w:tcW w:w="4118" w:type="dxa"/>
            <w:hideMark/>
          </w:tcPr>
          <w:p w14:paraId="7F1C97D4" w14:textId="6547B1C8" w:rsidR="00B107F1" w:rsidRPr="00EB3BFE" w:rsidRDefault="00B107F1" w:rsidP="00B107F1">
            <w:pPr>
              <w:rPr>
                <w:rFonts w:ascii="Times New Roman" w:hAnsi="Times New Roman" w:cs="Times New Roman"/>
                <w:sz w:val="20"/>
                <w:szCs w:val="20"/>
              </w:rPr>
            </w:pPr>
            <w:r w:rsidRPr="00EB3BFE">
              <w:rPr>
                <w:rFonts w:ascii="Times New Roman" w:hAnsi="Times New Roman" w:cs="Times New Roman"/>
                <w:sz w:val="20"/>
                <w:szCs w:val="20"/>
              </w:rPr>
              <w:t>Financial liabilities designated at fair value</w:t>
            </w:r>
          </w:p>
        </w:tc>
        <w:tc>
          <w:tcPr>
            <w:tcW w:w="1973" w:type="dxa"/>
            <w:tcBorders>
              <w:top w:val="nil"/>
              <w:left w:val="nil"/>
              <w:bottom w:val="single" w:sz="8" w:space="0" w:color="000000"/>
              <w:right w:val="single" w:sz="8" w:space="0" w:color="000000"/>
            </w:tcBorders>
            <w:shd w:val="clear" w:color="000000" w:fill="E6E6E6"/>
            <w:vAlign w:val="center"/>
          </w:tcPr>
          <w:p w14:paraId="06F992E2" w14:textId="04482285" w:rsidR="00B107F1" w:rsidRPr="00B107F1" w:rsidRDefault="00BA3196" w:rsidP="00B107F1">
            <w:pPr>
              <w:jc w:val="right"/>
              <w:rPr>
                <w:rFonts w:ascii="Times New Roman" w:hAnsi="Times New Roman" w:cs="Times New Roman"/>
                <w:sz w:val="20"/>
                <w:szCs w:val="20"/>
              </w:rPr>
            </w:pPr>
            <w:r>
              <w:rPr>
                <w:rFonts w:ascii="Times New Roman" w:hAnsi="Times New Roman" w:cs="Times New Roman"/>
                <w:sz w:val="20"/>
                <w:szCs w:val="20"/>
              </w:rPr>
              <w:t>-</w:t>
            </w:r>
          </w:p>
        </w:tc>
        <w:tc>
          <w:tcPr>
            <w:tcW w:w="2013" w:type="dxa"/>
            <w:tcBorders>
              <w:top w:val="nil"/>
              <w:left w:val="nil"/>
              <w:bottom w:val="single" w:sz="8" w:space="0" w:color="000000"/>
              <w:right w:val="single" w:sz="8" w:space="0" w:color="000000"/>
            </w:tcBorders>
            <w:shd w:val="clear" w:color="000000" w:fill="E0E0E0"/>
            <w:vAlign w:val="center"/>
          </w:tcPr>
          <w:p w14:paraId="2F84AD1D" w14:textId="5E60ECF4" w:rsidR="00B107F1" w:rsidRPr="00B107F1" w:rsidRDefault="00BA3196" w:rsidP="00B107F1">
            <w:pPr>
              <w:jc w:val="right"/>
              <w:rPr>
                <w:rFonts w:ascii="Times New Roman" w:hAnsi="Times New Roman" w:cs="Times New Roman"/>
                <w:sz w:val="20"/>
                <w:szCs w:val="20"/>
              </w:rPr>
            </w:pPr>
            <w:r>
              <w:rPr>
                <w:rFonts w:ascii="Times New Roman" w:hAnsi="Times New Roman" w:cs="Times New Roman"/>
                <w:sz w:val="20"/>
                <w:szCs w:val="20"/>
              </w:rPr>
              <w:t>-</w:t>
            </w:r>
          </w:p>
        </w:tc>
        <w:tc>
          <w:tcPr>
            <w:tcW w:w="1071" w:type="dxa"/>
            <w:hideMark/>
          </w:tcPr>
          <w:p w14:paraId="0FF1F02E" w14:textId="77777777" w:rsidR="00B107F1" w:rsidRPr="00EB3BFE" w:rsidRDefault="00B107F1" w:rsidP="00B107F1">
            <w:pPr>
              <w:rPr>
                <w:rFonts w:ascii="Times New Roman" w:hAnsi="Times New Roman" w:cs="Times New Roman"/>
                <w:sz w:val="20"/>
                <w:szCs w:val="20"/>
              </w:rPr>
            </w:pPr>
          </w:p>
        </w:tc>
      </w:tr>
      <w:tr w:rsidR="00B107F1" w:rsidRPr="00EB3BFE" w14:paraId="4627AC8D" w14:textId="77777777" w:rsidTr="00BA3196">
        <w:trPr>
          <w:trHeight w:val="550"/>
        </w:trPr>
        <w:tc>
          <w:tcPr>
            <w:tcW w:w="4118" w:type="dxa"/>
            <w:hideMark/>
          </w:tcPr>
          <w:p w14:paraId="0C0D34F1" w14:textId="39770A09" w:rsidR="00B107F1" w:rsidRPr="00EB3BFE" w:rsidRDefault="00B107F1" w:rsidP="00B107F1">
            <w:pPr>
              <w:rPr>
                <w:rFonts w:ascii="Times New Roman" w:hAnsi="Times New Roman" w:cs="Times New Roman"/>
                <w:sz w:val="20"/>
                <w:szCs w:val="20"/>
              </w:rPr>
            </w:pPr>
            <w:r w:rsidRPr="00EB3BFE">
              <w:rPr>
                <w:rFonts w:ascii="Times New Roman" w:hAnsi="Times New Roman" w:cs="Times New Roman"/>
                <w:sz w:val="20"/>
                <w:szCs w:val="20"/>
              </w:rPr>
              <w:t>Derivative financial instruments</w:t>
            </w:r>
          </w:p>
        </w:tc>
        <w:tc>
          <w:tcPr>
            <w:tcW w:w="1973" w:type="dxa"/>
            <w:tcBorders>
              <w:top w:val="nil"/>
              <w:left w:val="nil"/>
              <w:bottom w:val="single" w:sz="8" w:space="0" w:color="000000"/>
              <w:right w:val="single" w:sz="8" w:space="0" w:color="000000"/>
            </w:tcBorders>
            <w:shd w:val="clear" w:color="000000" w:fill="E6E6E6"/>
            <w:vAlign w:val="center"/>
          </w:tcPr>
          <w:p w14:paraId="71B4BADE" w14:textId="7213B66A" w:rsidR="00B107F1" w:rsidRPr="00B107F1" w:rsidRDefault="00BA3196" w:rsidP="00B107F1">
            <w:pPr>
              <w:jc w:val="right"/>
              <w:rPr>
                <w:rFonts w:ascii="Times New Roman" w:hAnsi="Times New Roman" w:cs="Times New Roman"/>
                <w:sz w:val="20"/>
                <w:szCs w:val="20"/>
              </w:rPr>
            </w:pPr>
            <w:r>
              <w:rPr>
                <w:rFonts w:ascii="Times New Roman" w:hAnsi="Times New Roman" w:cs="Times New Roman"/>
                <w:sz w:val="20"/>
                <w:szCs w:val="20"/>
              </w:rPr>
              <w:t>-</w:t>
            </w:r>
          </w:p>
        </w:tc>
        <w:tc>
          <w:tcPr>
            <w:tcW w:w="2013" w:type="dxa"/>
            <w:tcBorders>
              <w:top w:val="nil"/>
              <w:left w:val="nil"/>
              <w:bottom w:val="single" w:sz="8" w:space="0" w:color="000000"/>
              <w:right w:val="single" w:sz="8" w:space="0" w:color="000000"/>
            </w:tcBorders>
            <w:shd w:val="clear" w:color="000000" w:fill="E0E0E0"/>
            <w:vAlign w:val="center"/>
          </w:tcPr>
          <w:p w14:paraId="3D71D521" w14:textId="7949F95D" w:rsidR="00B107F1" w:rsidRPr="00B107F1" w:rsidRDefault="00BA3196" w:rsidP="00B107F1">
            <w:pPr>
              <w:jc w:val="right"/>
              <w:rPr>
                <w:rFonts w:ascii="Times New Roman" w:hAnsi="Times New Roman" w:cs="Times New Roman"/>
                <w:sz w:val="20"/>
                <w:szCs w:val="20"/>
              </w:rPr>
            </w:pPr>
            <w:r>
              <w:rPr>
                <w:rFonts w:ascii="Times New Roman" w:hAnsi="Times New Roman" w:cs="Times New Roman"/>
                <w:sz w:val="20"/>
                <w:szCs w:val="20"/>
              </w:rPr>
              <w:t>-</w:t>
            </w:r>
          </w:p>
        </w:tc>
        <w:tc>
          <w:tcPr>
            <w:tcW w:w="1071" w:type="dxa"/>
            <w:hideMark/>
          </w:tcPr>
          <w:p w14:paraId="530A1DD7" w14:textId="77777777" w:rsidR="00B107F1" w:rsidRPr="00EB3BFE" w:rsidRDefault="00B107F1" w:rsidP="00B107F1">
            <w:pPr>
              <w:rPr>
                <w:rFonts w:ascii="Times New Roman" w:hAnsi="Times New Roman" w:cs="Times New Roman"/>
                <w:sz w:val="20"/>
                <w:szCs w:val="20"/>
              </w:rPr>
            </w:pPr>
          </w:p>
        </w:tc>
      </w:tr>
      <w:tr w:rsidR="00084CCA" w:rsidRPr="00EB3BFE" w14:paraId="1E2B8A0F" w14:textId="77777777" w:rsidTr="00687A2D">
        <w:trPr>
          <w:trHeight w:val="550"/>
        </w:trPr>
        <w:tc>
          <w:tcPr>
            <w:tcW w:w="4118" w:type="dxa"/>
            <w:hideMark/>
          </w:tcPr>
          <w:p w14:paraId="7B138931" w14:textId="7BD23C5C" w:rsidR="00084CCA" w:rsidRPr="00EB3BFE" w:rsidRDefault="00084CCA" w:rsidP="00084CCA">
            <w:pPr>
              <w:rPr>
                <w:rFonts w:ascii="Times New Roman" w:hAnsi="Times New Roman" w:cs="Times New Roman"/>
                <w:sz w:val="20"/>
                <w:szCs w:val="20"/>
              </w:rPr>
            </w:pPr>
            <w:r w:rsidRPr="00EB3BFE">
              <w:rPr>
                <w:rFonts w:ascii="Times New Roman" w:hAnsi="Times New Roman" w:cs="Times New Roman"/>
                <w:sz w:val="20"/>
                <w:szCs w:val="20"/>
              </w:rPr>
              <w:t>Debt securities in issue</w:t>
            </w:r>
          </w:p>
        </w:tc>
        <w:tc>
          <w:tcPr>
            <w:tcW w:w="1973" w:type="dxa"/>
            <w:tcBorders>
              <w:top w:val="nil"/>
              <w:left w:val="nil"/>
              <w:bottom w:val="single" w:sz="8" w:space="0" w:color="000000"/>
              <w:right w:val="single" w:sz="8" w:space="0" w:color="000000"/>
            </w:tcBorders>
            <w:shd w:val="clear" w:color="000000" w:fill="E6E6E6"/>
            <w:hideMark/>
          </w:tcPr>
          <w:p w14:paraId="37831330" w14:textId="779C08BD" w:rsidR="00084CCA" w:rsidRPr="00B107F1" w:rsidRDefault="0032731B" w:rsidP="00084CCA">
            <w:pPr>
              <w:jc w:val="right"/>
              <w:rPr>
                <w:rFonts w:ascii="Times New Roman" w:hAnsi="Times New Roman" w:cs="Times New Roman"/>
                <w:sz w:val="20"/>
                <w:szCs w:val="20"/>
              </w:rPr>
            </w:pPr>
            <w:r w:rsidRPr="0032731B">
              <w:rPr>
                <w:rFonts w:ascii="Times New Roman" w:hAnsi="Times New Roman" w:cs="Times New Roman"/>
                <w:sz w:val="20"/>
                <w:szCs w:val="20"/>
              </w:rPr>
              <w:t>26,132</w:t>
            </w:r>
          </w:p>
        </w:tc>
        <w:tc>
          <w:tcPr>
            <w:tcW w:w="2013" w:type="dxa"/>
            <w:tcBorders>
              <w:top w:val="nil"/>
              <w:left w:val="nil"/>
              <w:bottom w:val="single" w:sz="8" w:space="0" w:color="000000"/>
              <w:right w:val="single" w:sz="8" w:space="0" w:color="000000"/>
            </w:tcBorders>
            <w:shd w:val="clear" w:color="000000" w:fill="E0E0E0"/>
            <w:hideMark/>
          </w:tcPr>
          <w:p w14:paraId="3A83F1FA" w14:textId="0973B194" w:rsidR="00084CCA" w:rsidRPr="00B107F1" w:rsidRDefault="0032731B" w:rsidP="00084CCA">
            <w:pPr>
              <w:jc w:val="right"/>
              <w:rPr>
                <w:rFonts w:ascii="Times New Roman" w:hAnsi="Times New Roman" w:cs="Times New Roman"/>
                <w:sz w:val="20"/>
                <w:szCs w:val="20"/>
              </w:rPr>
            </w:pPr>
            <w:r w:rsidRPr="0032731B">
              <w:rPr>
                <w:rFonts w:ascii="Times New Roman" w:hAnsi="Times New Roman" w:cs="Times New Roman"/>
                <w:sz w:val="20"/>
                <w:szCs w:val="20"/>
              </w:rPr>
              <w:t>26,132</w:t>
            </w:r>
          </w:p>
        </w:tc>
        <w:tc>
          <w:tcPr>
            <w:tcW w:w="1071" w:type="dxa"/>
            <w:hideMark/>
          </w:tcPr>
          <w:p w14:paraId="72E6DFFB" w14:textId="77777777" w:rsidR="00084CCA" w:rsidRPr="00EB3BFE" w:rsidRDefault="00084CCA" w:rsidP="00084CCA">
            <w:pPr>
              <w:rPr>
                <w:rFonts w:ascii="Times New Roman" w:hAnsi="Times New Roman" w:cs="Times New Roman"/>
                <w:sz w:val="20"/>
                <w:szCs w:val="20"/>
              </w:rPr>
            </w:pPr>
          </w:p>
        </w:tc>
      </w:tr>
      <w:tr w:rsidR="00084CCA" w:rsidRPr="00EB3BFE" w14:paraId="3B6BF9DA" w14:textId="77777777" w:rsidTr="00687A2D">
        <w:trPr>
          <w:trHeight w:val="550"/>
        </w:trPr>
        <w:tc>
          <w:tcPr>
            <w:tcW w:w="4118" w:type="dxa"/>
            <w:hideMark/>
          </w:tcPr>
          <w:p w14:paraId="075C2E41" w14:textId="46F90271" w:rsidR="00084CCA" w:rsidRPr="00EB3BFE" w:rsidRDefault="00084CCA" w:rsidP="00084CCA">
            <w:pPr>
              <w:rPr>
                <w:rFonts w:ascii="Times New Roman" w:hAnsi="Times New Roman" w:cs="Times New Roman"/>
                <w:sz w:val="20"/>
                <w:szCs w:val="20"/>
              </w:rPr>
            </w:pPr>
            <w:r w:rsidRPr="00EB3BFE">
              <w:rPr>
                <w:rFonts w:ascii="Times New Roman" w:hAnsi="Times New Roman" w:cs="Times New Roman"/>
                <w:sz w:val="20"/>
                <w:szCs w:val="20"/>
              </w:rPr>
              <w:t>Accruals, deferred income and other liabilities</w:t>
            </w:r>
          </w:p>
        </w:tc>
        <w:tc>
          <w:tcPr>
            <w:tcW w:w="1973" w:type="dxa"/>
            <w:tcBorders>
              <w:top w:val="nil"/>
              <w:left w:val="nil"/>
              <w:bottom w:val="single" w:sz="8" w:space="0" w:color="000000"/>
              <w:right w:val="single" w:sz="8" w:space="0" w:color="000000"/>
            </w:tcBorders>
            <w:shd w:val="clear" w:color="000000" w:fill="E6E6E6"/>
            <w:hideMark/>
          </w:tcPr>
          <w:p w14:paraId="76672E0E" w14:textId="493C90D3" w:rsidR="00084CCA" w:rsidRPr="00B107F1" w:rsidRDefault="00A0412C" w:rsidP="00084CCA">
            <w:pPr>
              <w:jc w:val="right"/>
              <w:rPr>
                <w:rFonts w:ascii="Times New Roman" w:hAnsi="Times New Roman" w:cs="Times New Roman"/>
                <w:sz w:val="20"/>
                <w:szCs w:val="20"/>
              </w:rPr>
            </w:pPr>
            <w:r w:rsidRPr="00A0412C">
              <w:rPr>
                <w:rFonts w:ascii="Times New Roman" w:hAnsi="Times New Roman" w:cs="Times New Roman"/>
                <w:sz w:val="20"/>
                <w:szCs w:val="20"/>
              </w:rPr>
              <w:t>82,930</w:t>
            </w:r>
          </w:p>
        </w:tc>
        <w:tc>
          <w:tcPr>
            <w:tcW w:w="2013" w:type="dxa"/>
            <w:tcBorders>
              <w:top w:val="nil"/>
              <w:left w:val="nil"/>
              <w:bottom w:val="single" w:sz="8" w:space="0" w:color="000000"/>
              <w:right w:val="single" w:sz="8" w:space="0" w:color="000000"/>
            </w:tcBorders>
            <w:shd w:val="clear" w:color="000000" w:fill="E0E0E0"/>
            <w:hideMark/>
          </w:tcPr>
          <w:p w14:paraId="6F5EC2FF" w14:textId="2500CF60" w:rsidR="00084CCA" w:rsidRPr="00B107F1" w:rsidRDefault="00A0412C" w:rsidP="00084CCA">
            <w:pPr>
              <w:jc w:val="right"/>
              <w:rPr>
                <w:rFonts w:ascii="Times New Roman" w:hAnsi="Times New Roman" w:cs="Times New Roman"/>
                <w:sz w:val="20"/>
                <w:szCs w:val="20"/>
              </w:rPr>
            </w:pPr>
            <w:r w:rsidRPr="00A0412C">
              <w:rPr>
                <w:rFonts w:ascii="Times New Roman" w:hAnsi="Times New Roman" w:cs="Times New Roman"/>
                <w:sz w:val="20"/>
                <w:szCs w:val="20"/>
              </w:rPr>
              <w:t>82,930</w:t>
            </w:r>
          </w:p>
        </w:tc>
        <w:tc>
          <w:tcPr>
            <w:tcW w:w="1071" w:type="dxa"/>
            <w:hideMark/>
          </w:tcPr>
          <w:p w14:paraId="216BB0D7" w14:textId="77777777" w:rsidR="00084CCA" w:rsidRPr="00EB3BFE" w:rsidRDefault="00084CCA" w:rsidP="00084CCA">
            <w:pPr>
              <w:rPr>
                <w:rFonts w:ascii="Times New Roman" w:hAnsi="Times New Roman" w:cs="Times New Roman"/>
                <w:sz w:val="20"/>
                <w:szCs w:val="20"/>
              </w:rPr>
            </w:pPr>
          </w:p>
        </w:tc>
      </w:tr>
      <w:tr w:rsidR="00084CCA" w:rsidRPr="00EB3BFE" w14:paraId="6B1F4039" w14:textId="77777777" w:rsidTr="00687A2D">
        <w:trPr>
          <w:trHeight w:val="550"/>
        </w:trPr>
        <w:tc>
          <w:tcPr>
            <w:tcW w:w="4118" w:type="dxa"/>
            <w:hideMark/>
          </w:tcPr>
          <w:p w14:paraId="385D008E" w14:textId="499D7249" w:rsidR="00084CCA" w:rsidRPr="00EB3BFE" w:rsidRDefault="00084CCA" w:rsidP="00084CCA">
            <w:pPr>
              <w:rPr>
                <w:rFonts w:ascii="Times New Roman" w:hAnsi="Times New Roman" w:cs="Times New Roman"/>
                <w:sz w:val="20"/>
                <w:szCs w:val="20"/>
              </w:rPr>
            </w:pPr>
            <w:r w:rsidRPr="00EB3BFE">
              <w:rPr>
                <w:rFonts w:ascii="Times New Roman" w:hAnsi="Times New Roman" w:cs="Times New Roman"/>
                <w:sz w:val="20"/>
                <w:szCs w:val="20"/>
              </w:rPr>
              <w:t>Current and deferred tax liabilities</w:t>
            </w:r>
          </w:p>
        </w:tc>
        <w:tc>
          <w:tcPr>
            <w:tcW w:w="1973" w:type="dxa"/>
            <w:tcBorders>
              <w:top w:val="nil"/>
              <w:left w:val="nil"/>
              <w:bottom w:val="single" w:sz="8" w:space="0" w:color="000000"/>
              <w:right w:val="single" w:sz="8" w:space="0" w:color="000000"/>
            </w:tcBorders>
            <w:shd w:val="clear" w:color="000000" w:fill="E6E6E6"/>
            <w:hideMark/>
          </w:tcPr>
          <w:p w14:paraId="62EB11B0" w14:textId="0A5C18A8" w:rsidR="00084CCA" w:rsidRPr="00B107F1" w:rsidRDefault="00A0412C" w:rsidP="00084CCA">
            <w:pPr>
              <w:jc w:val="right"/>
              <w:rPr>
                <w:rFonts w:ascii="Times New Roman" w:hAnsi="Times New Roman" w:cs="Times New Roman"/>
                <w:sz w:val="20"/>
                <w:szCs w:val="20"/>
              </w:rPr>
            </w:pPr>
            <w:r w:rsidRPr="00A0412C">
              <w:rPr>
                <w:rFonts w:ascii="Times New Roman" w:hAnsi="Times New Roman" w:cs="Times New Roman"/>
                <w:sz w:val="20"/>
                <w:szCs w:val="20"/>
              </w:rPr>
              <w:t>7,941</w:t>
            </w:r>
          </w:p>
        </w:tc>
        <w:tc>
          <w:tcPr>
            <w:tcW w:w="2013" w:type="dxa"/>
            <w:tcBorders>
              <w:top w:val="nil"/>
              <w:left w:val="nil"/>
              <w:bottom w:val="single" w:sz="8" w:space="0" w:color="000000"/>
              <w:right w:val="single" w:sz="8" w:space="0" w:color="000000"/>
            </w:tcBorders>
            <w:shd w:val="clear" w:color="000000" w:fill="E0E0E0"/>
            <w:hideMark/>
          </w:tcPr>
          <w:p w14:paraId="6F127F6D" w14:textId="3B52AFE0" w:rsidR="00084CCA" w:rsidRPr="00B107F1" w:rsidRDefault="00A0412C" w:rsidP="00084CCA">
            <w:pPr>
              <w:jc w:val="right"/>
              <w:rPr>
                <w:rFonts w:ascii="Times New Roman" w:hAnsi="Times New Roman" w:cs="Times New Roman"/>
                <w:sz w:val="20"/>
                <w:szCs w:val="20"/>
              </w:rPr>
            </w:pPr>
            <w:r w:rsidRPr="00A0412C">
              <w:rPr>
                <w:rFonts w:ascii="Times New Roman" w:hAnsi="Times New Roman" w:cs="Times New Roman"/>
                <w:sz w:val="20"/>
                <w:szCs w:val="20"/>
              </w:rPr>
              <w:t>7,941</w:t>
            </w:r>
          </w:p>
        </w:tc>
        <w:tc>
          <w:tcPr>
            <w:tcW w:w="1071" w:type="dxa"/>
            <w:hideMark/>
          </w:tcPr>
          <w:p w14:paraId="33AF676B" w14:textId="77777777" w:rsidR="00084CCA" w:rsidRPr="00EB3BFE" w:rsidRDefault="00084CCA" w:rsidP="00084CCA">
            <w:pPr>
              <w:rPr>
                <w:rFonts w:ascii="Times New Roman" w:hAnsi="Times New Roman" w:cs="Times New Roman"/>
                <w:sz w:val="20"/>
                <w:szCs w:val="20"/>
              </w:rPr>
            </w:pPr>
          </w:p>
        </w:tc>
      </w:tr>
      <w:tr w:rsidR="00B107F1" w:rsidRPr="00EB3BFE" w14:paraId="2CCE23BF" w14:textId="77777777" w:rsidTr="00687A2D">
        <w:trPr>
          <w:trHeight w:val="550"/>
        </w:trPr>
        <w:tc>
          <w:tcPr>
            <w:tcW w:w="4118" w:type="dxa"/>
            <w:hideMark/>
          </w:tcPr>
          <w:p w14:paraId="28EFA812" w14:textId="0734B4E1" w:rsidR="00B107F1" w:rsidRPr="00EB3BFE" w:rsidRDefault="00B107F1" w:rsidP="00B107F1">
            <w:pPr>
              <w:rPr>
                <w:rFonts w:ascii="Times New Roman" w:hAnsi="Times New Roman" w:cs="Times New Roman"/>
                <w:sz w:val="20"/>
                <w:szCs w:val="20"/>
              </w:rPr>
            </w:pPr>
            <w:r w:rsidRPr="00EB3BFE">
              <w:rPr>
                <w:rFonts w:ascii="Times New Roman" w:hAnsi="Times New Roman" w:cs="Times New Roman"/>
                <w:sz w:val="20"/>
                <w:szCs w:val="20"/>
              </w:rPr>
              <w:t>Of which DTLs related to goodwill</w:t>
            </w:r>
          </w:p>
        </w:tc>
        <w:tc>
          <w:tcPr>
            <w:tcW w:w="1973" w:type="dxa"/>
            <w:tcBorders>
              <w:top w:val="nil"/>
              <w:left w:val="nil"/>
              <w:bottom w:val="single" w:sz="8" w:space="0" w:color="000000"/>
              <w:right w:val="single" w:sz="8" w:space="0" w:color="000000"/>
            </w:tcBorders>
            <w:shd w:val="clear" w:color="000000" w:fill="CCCCCC"/>
            <w:vAlign w:val="center"/>
            <w:hideMark/>
          </w:tcPr>
          <w:p w14:paraId="0D0F7A9B" w14:textId="45A9025E" w:rsidR="00B107F1" w:rsidRPr="00B107F1" w:rsidRDefault="00B107F1" w:rsidP="00B107F1">
            <w:pPr>
              <w:jc w:val="right"/>
              <w:rPr>
                <w:rFonts w:ascii="Times New Roman" w:hAnsi="Times New Roman" w:cs="Times New Roman"/>
                <w:sz w:val="20"/>
                <w:szCs w:val="20"/>
              </w:rPr>
            </w:pPr>
            <w:r w:rsidRPr="00B107F1">
              <w:rPr>
                <w:rFonts w:ascii="Times New Roman" w:hAnsi="Times New Roman" w:cs="Times New Roman"/>
                <w:sz w:val="20"/>
                <w:szCs w:val="20"/>
              </w:rPr>
              <w:t xml:space="preserve">                                                                     -   </w:t>
            </w:r>
          </w:p>
        </w:tc>
        <w:tc>
          <w:tcPr>
            <w:tcW w:w="2013" w:type="dxa"/>
            <w:tcBorders>
              <w:top w:val="nil"/>
              <w:left w:val="nil"/>
              <w:bottom w:val="single" w:sz="8" w:space="0" w:color="000000"/>
              <w:right w:val="single" w:sz="8" w:space="0" w:color="000000"/>
            </w:tcBorders>
            <w:shd w:val="clear" w:color="000000" w:fill="E0E0E0"/>
            <w:vAlign w:val="center"/>
            <w:hideMark/>
          </w:tcPr>
          <w:p w14:paraId="25DF4B66" w14:textId="124DD070" w:rsidR="00B107F1" w:rsidRPr="00B107F1" w:rsidRDefault="00BA3196" w:rsidP="00B107F1">
            <w:pPr>
              <w:jc w:val="right"/>
              <w:rPr>
                <w:rFonts w:ascii="Times New Roman" w:hAnsi="Times New Roman" w:cs="Times New Roman"/>
                <w:sz w:val="20"/>
                <w:szCs w:val="20"/>
              </w:rPr>
            </w:pPr>
            <w:r>
              <w:rPr>
                <w:rFonts w:ascii="Times New Roman" w:hAnsi="Times New Roman" w:cs="Times New Roman"/>
                <w:sz w:val="20"/>
                <w:szCs w:val="20"/>
              </w:rPr>
              <w:t>-</w:t>
            </w:r>
          </w:p>
        </w:tc>
        <w:tc>
          <w:tcPr>
            <w:tcW w:w="1071" w:type="dxa"/>
            <w:hideMark/>
          </w:tcPr>
          <w:p w14:paraId="025C5FA6" w14:textId="09B5BD80" w:rsidR="00B107F1" w:rsidRPr="00EB3BFE" w:rsidRDefault="00B107F1" w:rsidP="00B107F1">
            <w:pPr>
              <w:rPr>
                <w:rFonts w:ascii="Times New Roman" w:hAnsi="Times New Roman" w:cs="Times New Roman"/>
                <w:sz w:val="20"/>
                <w:szCs w:val="20"/>
              </w:rPr>
            </w:pPr>
            <w:r w:rsidRPr="00EB3BFE">
              <w:rPr>
                <w:rFonts w:ascii="Times New Roman" w:hAnsi="Times New Roman" w:cs="Times New Roman"/>
                <w:sz w:val="20"/>
                <w:szCs w:val="20"/>
              </w:rPr>
              <w:t>d</w:t>
            </w:r>
          </w:p>
        </w:tc>
      </w:tr>
      <w:tr w:rsidR="00B107F1" w:rsidRPr="00EB3BFE" w14:paraId="1EBAB328" w14:textId="77777777" w:rsidTr="00687A2D">
        <w:trPr>
          <w:trHeight w:val="550"/>
        </w:trPr>
        <w:tc>
          <w:tcPr>
            <w:tcW w:w="4118" w:type="dxa"/>
            <w:hideMark/>
          </w:tcPr>
          <w:p w14:paraId="7B3E11F4" w14:textId="02DFCE0B" w:rsidR="00B107F1" w:rsidRPr="00EB3BFE" w:rsidRDefault="00B107F1" w:rsidP="00B107F1">
            <w:pPr>
              <w:rPr>
                <w:rFonts w:ascii="Times New Roman" w:hAnsi="Times New Roman" w:cs="Times New Roman"/>
                <w:sz w:val="20"/>
                <w:szCs w:val="20"/>
              </w:rPr>
            </w:pPr>
            <w:r w:rsidRPr="00EB3BFE">
              <w:rPr>
                <w:rFonts w:ascii="Times New Roman" w:hAnsi="Times New Roman" w:cs="Times New Roman"/>
                <w:sz w:val="20"/>
                <w:szCs w:val="20"/>
              </w:rPr>
              <w:t>Of which DTLs related to intangible assets</w:t>
            </w:r>
          </w:p>
        </w:tc>
        <w:tc>
          <w:tcPr>
            <w:tcW w:w="1973" w:type="dxa"/>
            <w:vMerge w:val="restart"/>
            <w:tcBorders>
              <w:top w:val="nil"/>
              <w:left w:val="single" w:sz="8" w:space="0" w:color="000000"/>
              <w:bottom w:val="single" w:sz="8" w:space="0" w:color="000000"/>
              <w:right w:val="single" w:sz="8" w:space="0" w:color="000000"/>
            </w:tcBorders>
            <w:shd w:val="clear" w:color="000000" w:fill="CCCCCC"/>
            <w:vAlign w:val="center"/>
            <w:hideMark/>
          </w:tcPr>
          <w:p w14:paraId="1CDC98F6" w14:textId="13FFEF63" w:rsidR="00B107F1" w:rsidRPr="00B107F1" w:rsidRDefault="00B107F1" w:rsidP="00B107F1">
            <w:pPr>
              <w:jc w:val="right"/>
              <w:rPr>
                <w:rFonts w:ascii="Times New Roman" w:hAnsi="Times New Roman" w:cs="Times New Roman"/>
                <w:sz w:val="20"/>
                <w:szCs w:val="20"/>
              </w:rPr>
            </w:pPr>
            <w:r w:rsidRPr="00B107F1">
              <w:rPr>
                <w:rFonts w:ascii="Times New Roman" w:hAnsi="Times New Roman" w:cs="Times New Roman"/>
                <w:sz w:val="20"/>
                <w:szCs w:val="20"/>
              </w:rPr>
              <w:t xml:space="preserve">                                                                     -   </w:t>
            </w:r>
          </w:p>
        </w:tc>
        <w:tc>
          <w:tcPr>
            <w:tcW w:w="2013" w:type="dxa"/>
            <w:tcBorders>
              <w:top w:val="nil"/>
              <w:left w:val="nil"/>
              <w:bottom w:val="single" w:sz="8" w:space="0" w:color="000000"/>
              <w:right w:val="single" w:sz="8" w:space="0" w:color="000000"/>
            </w:tcBorders>
            <w:shd w:val="clear" w:color="000000" w:fill="E0E0E0"/>
            <w:vAlign w:val="center"/>
            <w:hideMark/>
          </w:tcPr>
          <w:p w14:paraId="55E4C71E" w14:textId="55C86537" w:rsidR="00B107F1" w:rsidRPr="00B107F1" w:rsidRDefault="00BA3196" w:rsidP="00B107F1">
            <w:pPr>
              <w:jc w:val="right"/>
              <w:rPr>
                <w:rFonts w:ascii="Times New Roman" w:hAnsi="Times New Roman" w:cs="Times New Roman"/>
                <w:sz w:val="20"/>
                <w:szCs w:val="20"/>
              </w:rPr>
            </w:pPr>
            <w:r>
              <w:rPr>
                <w:rFonts w:ascii="Times New Roman" w:hAnsi="Times New Roman" w:cs="Times New Roman"/>
                <w:sz w:val="20"/>
                <w:szCs w:val="20"/>
              </w:rPr>
              <w:t>-</w:t>
            </w:r>
          </w:p>
        </w:tc>
        <w:tc>
          <w:tcPr>
            <w:tcW w:w="1071" w:type="dxa"/>
            <w:vMerge w:val="restart"/>
            <w:hideMark/>
          </w:tcPr>
          <w:p w14:paraId="46FDA088" w14:textId="77777777" w:rsidR="00B107F1" w:rsidRPr="00EB3BFE" w:rsidRDefault="00B107F1" w:rsidP="00B107F1">
            <w:pPr>
              <w:rPr>
                <w:rFonts w:ascii="Times New Roman" w:hAnsi="Times New Roman" w:cs="Times New Roman"/>
                <w:sz w:val="20"/>
                <w:szCs w:val="20"/>
              </w:rPr>
            </w:pPr>
            <w:r w:rsidRPr="00EB3BFE">
              <w:rPr>
                <w:rFonts w:ascii="Times New Roman" w:hAnsi="Times New Roman" w:cs="Times New Roman"/>
                <w:sz w:val="20"/>
                <w:szCs w:val="20"/>
              </w:rPr>
              <w:t>e</w:t>
            </w:r>
          </w:p>
          <w:p w14:paraId="579232FB" w14:textId="0EF77985" w:rsidR="00B107F1" w:rsidRPr="00EB3BFE" w:rsidRDefault="00B107F1" w:rsidP="00B107F1">
            <w:pPr>
              <w:rPr>
                <w:rFonts w:ascii="Times New Roman" w:hAnsi="Times New Roman" w:cs="Times New Roman"/>
                <w:sz w:val="20"/>
                <w:szCs w:val="20"/>
              </w:rPr>
            </w:pPr>
          </w:p>
        </w:tc>
      </w:tr>
      <w:tr w:rsidR="00B107F1" w:rsidRPr="00EB3BFE" w14:paraId="356918CF" w14:textId="77777777" w:rsidTr="00687A2D">
        <w:trPr>
          <w:trHeight w:val="550"/>
        </w:trPr>
        <w:tc>
          <w:tcPr>
            <w:tcW w:w="4118" w:type="dxa"/>
            <w:hideMark/>
          </w:tcPr>
          <w:p w14:paraId="7B77D58D" w14:textId="0F0A8340" w:rsidR="00B107F1" w:rsidRPr="00EB3BFE" w:rsidRDefault="00B107F1" w:rsidP="00B107F1">
            <w:pPr>
              <w:widowControl w:val="0"/>
              <w:autoSpaceDE w:val="0"/>
              <w:autoSpaceDN w:val="0"/>
              <w:adjustRightInd w:val="0"/>
              <w:rPr>
                <w:rFonts w:ascii="Times New Roman" w:hAnsi="Times New Roman" w:cs="Times New Roman"/>
                <w:sz w:val="20"/>
                <w:szCs w:val="20"/>
              </w:rPr>
            </w:pPr>
            <w:r w:rsidRPr="00EB3BFE">
              <w:rPr>
                <w:rFonts w:ascii="Times New Roman" w:hAnsi="Times New Roman" w:cs="Times New Roman"/>
                <w:sz w:val="20"/>
                <w:szCs w:val="20"/>
              </w:rPr>
              <w:t>(excluding MSRs)</w:t>
            </w:r>
          </w:p>
        </w:tc>
        <w:tc>
          <w:tcPr>
            <w:tcW w:w="1973" w:type="dxa"/>
            <w:vMerge/>
            <w:tcBorders>
              <w:top w:val="nil"/>
              <w:left w:val="single" w:sz="8" w:space="0" w:color="000000"/>
              <w:bottom w:val="single" w:sz="8" w:space="0" w:color="000000"/>
              <w:right w:val="single" w:sz="8" w:space="0" w:color="000000"/>
            </w:tcBorders>
            <w:vAlign w:val="center"/>
            <w:hideMark/>
          </w:tcPr>
          <w:p w14:paraId="3F488220" w14:textId="77777777" w:rsidR="00B107F1" w:rsidRPr="00B107F1" w:rsidRDefault="00B107F1" w:rsidP="00B107F1">
            <w:pPr>
              <w:pStyle w:val="NoSpacing"/>
              <w:jc w:val="right"/>
              <w:rPr>
                <w:rFonts w:ascii="Times New Roman" w:hAnsi="Times New Roman" w:cs="Times New Roman"/>
                <w:sz w:val="20"/>
                <w:szCs w:val="20"/>
              </w:rPr>
            </w:pPr>
          </w:p>
        </w:tc>
        <w:tc>
          <w:tcPr>
            <w:tcW w:w="2013" w:type="dxa"/>
            <w:tcBorders>
              <w:top w:val="nil"/>
              <w:left w:val="nil"/>
              <w:bottom w:val="single" w:sz="8" w:space="0" w:color="000000"/>
              <w:right w:val="single" w:sz="8" w:space="0" w:color="000000"/>
            </w:tcBorders>
            <w:shd w:val="clear" w:color="000000" w:fill="E0E0E0"/>
            <w:vAlign w:val="center"/>
            <w:hideMark/>
          </w:tcPr>
          <w:p w14:paraId="5BB4E1DC" w14:textId="3C448528" w:rsidR="00B107F1" w:rsidRPr="00B107F1" w:rsidRDefault="00BA3196" w:rsidP="00B107F1">
            <w:pPr>
              <w:pStyle w:val="NoSpacing"/>
              <w:jc w:val="right"/>
              <w:rPr>
                <w:rFonts w:ascii="Times New Roman" w:hAnsi="Times New Roman" w:cs="Times New Roman"/>
                <w:sz w:val="20"/>
                <w:szCs w:val="20"/>
              </w:rPr>
            </w:pPr>
            <w:r>
              <w:rPr>
                <w:rFonts w:ascii="Times New Roman" w:hAnsi="Times New Roman" w:cs="Times New Roman"/>
                <w:sz w:val="20"/>
                <w:szCs w:val="20"/>
              </w:rPr>
              <w:t>-</w:t>
            </w:r>
          </w:p>
        </w:tc>
        <w:tc>
          <w:tcPr>
            <w:tcW w:w="1071" w:type="dxa"/>
            <w:vMerge/>
            <w:hideMark/>
          </w:tcPr>
          <w:p w14:paraId="4549A5C4" w14:textId="77777777" w:rsidR="00B107F1" w:rsidRPr="00EB3BFE" w:rsidRDefault="00B107F1" w:rsidP="00B107F1">
            <w:pPr>
              <w:widowControl w:val="0"/>
              <w:autoSpaceDE w:val="0"/>
              <w:autoSpaceDN w:val="0"/>
              <w:adjustRightInd w:val="0"/>
              <w:rPr>
                <w:rFonts w:ascii="Times New Roman" w:hAnsi="Times New Roman" w:cs="Times New Roman"/>
                <w:sz w:val="20"/>
                <w:szCs w:val="20"/>
              </w:rPr>
            </w:pPr>
          </w:p>
        </w:tc>
      </w:tr>
      <w:tr w:rsidR="00B107F1" w:rsidRPr="00EB3BFE" w14:paraId="5D379872" w14:textId="77777777" w:rsidTr="00687A2D">
        <w:trPr>
          <w:trHeight w:val="550"/>
        </w:trPr>
        <w:tc>
          <w:tcPr>
            <w:tcW w:w="4118" w:type="dxa"/>
            <w:hideMark/>
          </w:tcPr>
          <w:p w14:paraId="1BE9976A" w14:textId="437A970C" w:rsidR="00B107F1" w:rsidRPr="00EB3BFE" w:rsidRDefault="00B107F1" w:rsidP="00B107F1">
            <w:pPr>
              <w:rPr>
                <w:rFonts w:ascii="Times New Roman" w:hAnsi="Times New Roman" w:cs="Times New Roman"/>
                <w:sz w:val="20"/>
                <w:szCs w:val="20"/>
              </w:rPr>
            </w:pPr>
            <w:r w:rsidRPr="00EB3BFE">
              <w:rPr>
                <w:rFonts w:ascii="Times New Roman" w:hAnsi="Times New Roman" w:cs="Times New Roman"/>
                <w:sz w:val="20"/>
                <w:szCs w:val="20"/>
              </w:rPr>
              <w:t>Of which DTLs related to MSRs</w:t>
            </w:r>
          </w:p>
        </w:tc>
        <w:tc>
          <w:tcPr>
            <w:tcW w:w="1973" w:type="dxa"/>
            <w:tcBorders>
              <w:top w:val="nil"/>
              <w:left w:val="nil"/>
              <w:bottom w:val="single" w:sz="8" w:space="0" w:color="000000"/>
              <w:right w:val="single" w:sz="8" w:space="0" w:color="000000"/>
            </w:tcBorders>
            <w:shd w:val="clear" w:color="000000" w:fill="CCCCCC"/>
            <w:vAlign w:val="center"/>
            <w:hideMark/>
          </w:tcPr>
          <w:p w14:paraId="6B628BA8" w14:textId="7A8A6B48" w:rsidR="00B107F1" w:rsidRPr="00B107F1" w:rsidRDefault="00B107F1" w:rsidP="00B107F1">
            <w:pPr>
              <w:jc w:val="right"/>
              <w:rPr>
                <w:rFonts w:ascii="Times New Roman" w:hAnsi="Times New Roman" w:cs="Times New Roman"/>
                <w:sz w:val="20"/>
                <w:szCs w:val="20"/>
              </w:rPr>
            </w:pPr>
            <w:r w:rsidRPr="00B107F1">
              <w:rPr>
                <w:rFonts w:ascii="Times New Roman" w:hAnsi="Times New Roman" w:cs="Times New Roman"/>
                <w:sz w:val="20"/>
                <w:szCs w:val="20"/>
              </w:rPr>
              <w:t xml:space="preserve">                                                                     -   </w:t>
            </w:r>
          </w:p>
        </w:tc>
        <w:tc>
          <w:tcPr>
            <w:tcW w:w="2013" w:type="dxa"/>
            <w:tcBorders>
              <w:top w:val="nil"/>
              <w:left w:val="nil"/>
              <w:bottom w:val="single" w:sz="8" w:space="0" w:color="000000"/>
              <w:right w:val="single" w:sz="8" w:space="0" w:color="000000"/>
            </w:tcBorders>
            <w:shd w:val="clear" w:color="000000" w:fill="E0E0E0"/>
            <w:vAlign w:val="center"/>
            <w:hideMark/>
          </w:tcPr>
          <w:p w14:paraId="3E94972E" w14:textId="62093BC6" w:rsidR="00B107F1" w:rsidRPr="00B107F1" w:rsidRDefault="00BA3196" w:rsidP="00B107F1">
            <w:pPr>
              <w:jc w:val="right"/>
              <w:rPr>
                <w:rFonts w:ascii="Times New Roman" w:hAnsi="Times New Roman" w:cs="Times New Roman"/>
                <w:sz w:val="20"/>
                <w:szCs w:val="20"/>
              </w:rPr>
            </w:pPr>
            <w:r>
              <w:rPr>
                <w:rFonts w:ascii="Times New Roman" w:hAnsi="Times New Roman" w:cs="Times New Roman"/>
                <w:sz w:val="20"/>
                <w:szCs w:val="20"/>
              </w:rPr>
              <w:t>-</w:t>
            </w:r>
          </w:p>
        </w:tc>
        <w:tc>
          <w:tcPr>
            <w:tcW w:w="1071" w:type="dxa"/>
            <w:hideMark/>
          </w:tcPr>
          <w:p w14:paraId="65788FF5" w14:textId="6B8193CF" w:rsidR="00B107F1" w:rsidRPr="00EB3BFE" w:rsidRDefault="00B107F1" w:rsidP="00B107F1">
            <w:pPr>
              <w:rPr>
                <w:rFonts w:ascii="Times New Roman" w:hAnsi="Times New Roman" w:cs="Times New Roman"/>
                <w:sz w:val="20"/>
                <w:szCs w:val="20"/>
              </w:rPr>
            </w:pPr>
            <w:r w:rsidRPr="00EB3BFE">
              <w:rPr>
                <w:rFonts w:ascii="Times New Roman" w:hAnsi="Times New Roman" w:cs="Times New Roman"/>
                <w:sz w:val="20"/>
                <w:szCs w:val="20"/>
              </w:rPr>
              <w:t>f</w:t>
            </w:r>
          </w:p>
        </w:tc>
      </w:tr>
      <w:tr w:rsidR="00084CCA" w:rsidRPr="00EB3BFE" w14:paraId="293D833F" w14:textId="77777777" w:rsidTr="00687A2D">
        <w:trPr>
          <w:trHeight w:val="550"/>
        </w:trPr>
        <w:tc>
          <w:tcPr>
            <w:tcW w:w="4118" w:type="dxa"/>
            <w:hideMark/>
          </w:tcPr>
          <w:p w14:paraId="38E04394" w14:textId="3E66E7D8" w:rsidR="00084CCA" w:rsidRPr="00EB3BFE" w:rsidRDefault="00084CCA" w:rsidP="00084CCA">
            <w:pPr>
              <w:rPr>
                <w:rFonts w:ascii="Times New Roman" w:hAnsi="Times New Roman" w:cs="Times New Roman"/>
                <w:sz w:val="20"/>
                <w:szCs w:val="20"/>
              </w:rPr>
            </w:pPr>
            <w:r w:rsidRPr="00EB3BFE">
              <w:rPr>
                <w:rFonts w:ascii="Times New Roman" w:hAnsi="Times New Roman" w:cs="Times New Roman"/>
                <w:sz w:val="20"/>
                <w:szCs w:val="20"/>
              </w:rPr>
              <w:t>Subordinated liabilities</w:t>
            </w:r>
          </w:p>
        </w:tc>
        <w:tc>
          <w:tcPr>
            <w:tcW w:w="1973" w:type="dxa"/>
            <w:tcBorders>
              <w:top w:val="nil"/>
              <w:left w:val="nil"/>
              <w:bottom w:val="single" w:sz="8" w:space="0" w:color="000000"/>
              <w:right w:val="single" w:sz="8" w:space="0" w:color="000000"/>
            </w:tcBorders>
            <w:shd w:val="clear" w:color="000000" w:fill="E6E6E6"/>
            <w:hideMark/>
          </w:tcPr>
          <w:p w14:paraId="0E8D4967" w14:textId="1515BC83" w:rsidR="00084CCA" w:rsidRPr="00B107F1" w:rsidRDefault="00A0412C" w:rsidP="00084CCA">
            <w:pPr>
              <w:jc w:val="right"/>
              <w:rPr>
                <w:rFonts w:ascii="Times New Roman" w:hAnsi="Times New Roman" w:cs="Times New Roman"/>
                <w:sz w:val="20"/>
                <w:szCs w:val="20"/>
              </w:rPr>
            </w:pPr>
            <w:r w:rsidRPr="00A0412C">
              <w:rPr>
                <w:rFonts w:ascii="Times New Roman" w:hAnsi="Times New Roman" w:cs="Times New Roman"/>
                <w:sz w:val="20"/>
                <w:szCs w:val="20"/>
              </w:rPr>
              <w:t>156,999</w:t>
            </w:r>
          </w:p>
        </w:tc>
        <w:tc>
          <w:tcPr>
            <w:tcW w:w="2013" w:type="dxa"/>
            <w:tcBorders>
              <w:top w:val="nil"/>
              <w:left w:val="nil"/>
              <w:bottom w:val="single" w:sz="8" w:space="0" w:color="000000"/>
              <w:right w:val="single" w:sz="8" w:space="0" w:color="000000"/>
            </w:tcBorders>
            <w:shd w:val="clear" w:color="000000" w:fill="E0E0E0"/>
            <w:hideMark/>
          </w:tcPr>
          <w:p w14:paraId="5D45B694" w14:textId="198DFD4A" w:rsidR="00084CCA" w:rsidRPr="00B107F1" w:rsidRDefault="00A0412C" w:rsidP="00084CCA">
            <w:pPr>
              <w:jc w:val="right"/>
              <w:rPr>
                <w:rFonts w:ascii="Times New Roman" w:hAnsi="Times New Roman" w:cs="Times New Roman"/>
                <w:sz w:val="20"/>
                <w:szCs w:val="20"/>
              </w:rPr>
            </w:pPr>
            <w:r w:rsidRPr="00A0412C">
              <w:rPr>
                <w:rFonts w:ascii="Times New Roman" w:hAnsi="Times New Roman" w:cs="Times New Roman"/>
                <w:sz w:val="20"/>
                <w:szCs w:val="20"/>
              </w:rPr>
              <w:t>156,999</w:t>
            </w:r>
          </w:p>
        </w:tc>
        <w:tc>
          <w:tcPr>
            <w:tcW w:w="1071" w:type="dxa"/>
            <w:hideMark/>
          </w:tcPr>
          <w:p w14:paraId="567A3484" w14:textId="77777777" w:rsidR="00084CCA" w:rsidRPr="00EB3BFE" w:rsidRDefault="00084CCA" w:rsidP="00084CCA">
            <w:pPr>
              <w:rPr>
                <w:rFonts w:ascii="Times New Roman" w:hAnsi="Times New Roman" w:cs="Times New Roman"/>
                <w:sz w:val="20"/>
                <w:szCs w:val="20"/>
              </w:rPr>
            </w:pPr>
          </w:p>
        </w:tc>
      </w:tr>
      <w:tr w:rsidR="00084CCA" w:rsidRPr="00EB3BFE" w14:paraId="16F7031F" w14:textId="77777777" w:rsidTr="00687A2D">
        <w:trPr>
          <w:trHeight w:val="550"/>
        </w:trPr>
        <w:tc>
          <w:tcPr>
            <w:tcW w:w="4118" w:type="dxa"/>
            <w:hideMark/>
          </w:tcPr>
          <w:p w14:paraId="37E0D2D1" w14:textId="7DA9862A" w:rsidR="00084CCA" w:rsidRPr="00EB3BFE" w:rsidRDefault="00084CCA" w:rsidP="00084CCA">
            <w:pPr>
              <w:rPr>
                <w:rFonts w:ascii="Times New Roman" w:hAnsi="Times New Roman" w:cs="Times New Roman"/>
                <w:sz w:val="20"/>
                <w:szCs w:val="20"/>
              </w:rPr>
            </w:pPr>
            <w:r w:rsidRPr="00EB3BFE">
              <w:rPr>
                <w:rFonts w:ascii="Times New Roman" w:hAnsi="Times New Roman" w:cs="Times New Roman"/>
                <w:sz w:val="20"/>
                <w:szCs w:val="20"/>
              </w:rPr>
              <w:t>Provisions</w:t>
            </w:r>
          </w:p>
        </w:tc>
        <w:tc>
          <w:tcPr>
            <w:tcW w:w="1973" w:type="dxa"/>
            <w:tcBorders>
              <w:top w:val="nil"/>
              <w:left w:val="nil"/>
              <w:bottom w:val="single" w:sz="8" w:space="0" w:color="000000"/>
              <w:right w:val="single" w:sz="8" w:space="0" w:color="000000"/>
            </w:tcBorders>
            <w:shd w:val="clear" w:color="000000" w:fill="E6E6E6"/>
            <w:hideMark/>
          </w:tcPr>
          <w:p w14:paraId="470467FA" w14:textId="2E5FDAAB" w:rsidR="00084CCA" w:rsidRPr="00B107F1" w:rsidRDefault="00A0412C" w:rsidP="00084CCA">
            <w:pPr>
              <w:jc w:val="right"/>
              <w:rPr>
                <w:rFonts w:ascii="Times New Roman" w:hAnsi="Times New Roman" w:cs="Times New Roman"/>
                <w:sz w:val="20"/>
                <w:szCs w:val="20"/>
              </w:rPr>
            </w:pPr>
            <w:r w:rsidRPr="00A0412C">
              <w:rPr>
                <w:rFonts w:ascii="Times New Roman" w:hAnsi="Times New Roman" w:cs="Times New Roman"/>
                <w:sz w:val="20"/>
                <w:szCs w:val="20"/>
              </w:rPr>
              <w:t>3,129</w:t>
            </w:r>
          </w:p>
        </w:tc>
        <w:tc>
          <w:tcPr>
            <w:tcW w:w="2013" w:type="dxa"/>
            <w:tcBorders>
              <w:top w:val="nil"/>
              <w:left w:val="nil"/>
              <w:bottom w:val="single" w:sz="8" w:space="0" w:color="000000"/>
              <w:right w:val="single" w:sz="8" w:space="0" w:color="000000"/>
            </w:tcBorders>
            <w:shd w:val="clear" w:color="000000" w:fill="E0E0E0"/>
            <w:hideMark/>
          </w:tcPr>
          <w:p w14:paraId="0F15C9AD" w14:textId="0C5A2239" w:rsidR="00084CCA" w:rsidRPr="00B107F1" w:rsidRDefault="00A0412C" w:rsidP="00084CCA">
            <w:pPr>
              <w:jc w:val="right"/>
              <w:rPr>
                <w:rFonts w:ascii="Times New Roman" w:hAnsi="Times New Roman" w:cs="Times New Roman"/>
                <w:sz w:val="20"/>
                <w:szCs w:val="20"/>
              </w:rPr>
            </w:pPr>
            <w:r w:rsidRPr="00A0412C">
              <w:rPr>
                <w:rFonts w:ascii="Times New Roman" w:hAnsi="Times New Roman" w:cs="Times New Roman"/>
                <w:sz w:val="20"/>
                <w:szCs w:val="20"/>
              </w:rPr>
              <w:t>3,129</w:t>
            </w:r>
          </w:p>
        </w:tc>
        <w:tc>
          <w:tcPr>
            <w:tcW w:w="1071" w:type="dxa"/>
            <w:hideMark/>
          </w:tcPr>
          <w:p w14:paraId="51E69BE2" w14:textId="77777777" w:rsidR="00084CCA" w:rsidRPr="00EB3BFE" w:rsidRDefault="00084CCA" w:rsidP="00084CCA">
            <w:pPr>
              <w:rPr>
                <w:rFonts w:ascii="Times New Roman" w:hAnsi="Times New Roman" w:cs="Times New Roman"/>
                <w:sz w:val="20"/>
                <w:szCs w:val="20"/>
              </w:rPr>
            </w:pPr>
          </w:p>
        </w:tc>
      </w:tr>
      <w:tr w:rsidR="00B107F1" w:rsidRPr="00EB3BFE" w14:paraId="059509E5" w14:textId="77777777" w:rsidTr="00687A2D">
        <w:trPr>
          <w:trHeight w:val="550"/>
        </w:trPr>
        <w:tc>
          <w:tcPr>
            <w:tcW w:w="4118" w:type="dxa"/>
            <w:hideMark/>
          </w:tcPr>
          <w:p w14:paraId="1D3F83D2" w14:textId="647545B3" w:rsidR="00B107F1" w:rsidRPr="00EB3BFE" w:rsidRDefault="00B107F1" w:rsidP="00B107F1">
            <w:pPr>
              <w:rPr>
                <w:rFonts w:ascii="Times New Roman" w:hAnsi="Times New Roman" w:cs="Times New Roman"/>
                <w:sz w:val="20"/>
                <w:szCs w:val="20"/>
              </w:rPr>
            </w:pPr>
            <w:r w:rsidRPr="00EB3BFE">
              <w:rPr>
                <w:rFonts w:ascii="Times New Roman" w:hAnsi="Times New Roman" w:cs="Times New Roman"/>
                <w:sz w:val="20"/>
                <w:szCs w:val="20"/>
              </w:rPr>
              <w:lastRenderedPageBreak/>
              <w:t>Retirement benefit liabilities</w:t>
            </w:r>
          </w:p>
        </w:tc>
        <w:tc>
          <w:tcPr>
            <w:tcW w:w="1973" w:type="dxa"/>
            <w:tcBorders>
              <w:top w:val="nil"/>
              <w:left w:val="nil"/>
              <w:bottom w:val="single" w:sz="8" w:space="0" w:color="000000"/>
              <w:right w:val="single" w:sz="8" w:space="0" w:color="000000"/>
            </w:tcBorders>
            <w:shd w:val="clear" w:color="000000" w:fill="E6E6E6"/>
            <w:vAlign w:val="center"/>
            <w:hideMark/>
          </w:tcPr>
          <w:p w14:paraId="28B0D4AD" w14:textId="15C16D6B" w:rsidR="00B107F1" w:rsidRPr="00B107F1" w:rsidRDefault="00B107F1" w:rsidP="00B107F1">
            <w:pPr>
              <w:jc w:val="right"/>
              <w:rPr>
                <w:rFonts w:ascii="Times New Roman" w:hAnsi="Times New Roman" w:cs="Times New Roman"/>
                <w:sz w:val="20"/>
                <w:szCs w:val="20"/>
              </w:rPr>
            </w:pPr>
            <w:r w:rsidRPr="00B107F1">
              <w:rPr>
                <w:rFonts w:ascii="Times New Roman" w:hAnsi="Times New Roman" w:cs="Times New Roman"/>
                <w:sz w:val="20"/>
                <w:szCs w:val="20"/>
              </w:rPr>
              <w:t xml:space="preserve">                                                                     -   </w:t>
            </w:r>
          </w:p>
        </w:tc>
        <w:tc>
          <w:tcPr>
            <w:tcW w:w="2013" w:type="dxa"/>
            <w:tcBorders>
              <w:top w:val="nil"/>
              <w:left w:val="nil"/>
              <w:bottom w:val="single" w:sz="8" w:space="0" w:color="000000"/>
              <w:right w:val="single" w:sz="8" w:space="0" w:color="000000"/>
            </w:tcBorders>
            <w:shd w:val="clear" w:color="000000" w:fill="E0E0E0"/>
            <w:vAlign w:val="center"/>
            <w:hideMark/>
          </w:tcPr>
          <w:p w14:paraId="22DBABF8" w14:textId="2B7785F4" w:rsidR="00B107F1" w:rsidRPr="00B107F1" w:rsidRDefault="007D4149" w:rsidP="00B107F1">
            <w:pPr>
              <w:jc w:val="right"/>
              <w:rPr>
                <w:rFonts w:ascii="Times New Roman" w:hAnsi="Times New Roman" w:cs="Times New Roman"/>
                <w:sz w:val="20"/>
                <w:szCs w:val="20"/>
              </w:rPr>
            </w:pPr>
            <w:r>
              <w:rPr>
                <w:rFonts w:ascii="Times New Roman" w:hAnsi="Times New Roman" w:cs="Times New Roman"/>
                <w:sz w:val="20"/>
                <w:szCs w:val="20"/>
              </w:rPr>
              <w:t>-</w:t>
            </w:r>
          </w:p>
        </w:tc>
        <w:tc>
          <w:tcPr>
            <w:tcW w:w="1071" w:type="dxa"/>
            <w:hideMark/>
          </w:tcPr>
          <w:p w14:paraId="606108A2" w14:textId="77777777" w:rsidR="00B107F1" w:rsidRPr="00EB3BFE" w:rsidRDefault="00B107F1" w:rsidP="00B107F1">
            <w:pPr>
              <w:rPr>
                <w:rFonts w:ascii="Times New Roman" w:hAnsi="Times New Roman" w:cs="Times New Roman"/>
                <w:sz w:val="20"/>
                <w:szCs w:val="20"/>
              </w:rPr>
            </w:pPr>
          </w:p>
        </w:tc>
      </w:tr>
      <w:tr w:rsidR="00084CCA" w:rsidRPr="00EB3BFE" w14:paraId="5A692B5F" w14:textId="77777777" w:rsidTr="00687A2D">
        <w:trPr>
          <w:trHeight w:val="550"/>
        </w:trPr>
        <w:tc>
          <w:tcPr>
            <w:tcW w:w="4118" w:type="dxa"/>
            <w:shd w:val="clear" w:color="auto" w:fill="92D050"/>
            <w:hideMark/>
          </w:tcPr>
          <w:p w14:paraId="41A93DE7" w14:textId="6B0C93FC" w:rsidR="00084CCA" w:rsidRPr="00EB3BFE" w:rsidRDefault="00084CCA" w:rsidP="00084CCA">
            <w:pPr>
              <w:rPr>
                <w:rFonts w:ascii="Times New Roman" w:hAnsi="Times New Roman" w:cs="Times New Roman"/>
                <w:b/>
                <w:bCs/>
                <w:sz w:val="20"/>
                <w:szCs w:val="20"/>
              </w:rPr>
            </w:pPr>
            <w:r w:rsidRPr="00EB3BFE">
              <w:rPr>
                <w:rFonts w:ascii="Times New Roman" w:hAnsi="Times New Roman" w:cs="Times New Roman"/>
                <w:b/>
                <w:bCs/>
                <w:sz w:val="20"/>
                <w:szCs w:val="20"/>
              </w:rPr>
              <w:t>Total liabilities</w:t>
            </w:r>
          </w:p>
        </w:tc>
        <w:tc>
          <w:tcPr>
            <w:tcW w:w="1973" w:type="dxa"/>
            <w:tcBorders>
              <w:top w:val="nil"/>
              <w:left w:val="nil"/>
              <w:bottom w:val="single" w:sz="8" w:space="0" w:color="000000"/>
              <w:right w:val="single" w:sz="8" w:space="0" w:color="000000"/>
            </w:tcBorders>
            <w:shd w:val="clear" w:color="000000" w:fill="E6E6E6"/>
            <w:hideMark/>
          </w:tcPr>
          <w:p w14:paraId="14B8AB1A" w14:textId="1482ACEA" w:rsidR="00084CCA" w:rsidRPr="00B107F1" w:rsidRDefault="00854E4B" w:rsidP="00084CCA">
            <w:pPr>
              <w:jc w:val="right"/>
              <w:rPr>
                <w:rFonts w:ascii="Times New Roman" w:hAnsi="Times New Roman" w:cs="Times New Roman"/>
                <w:b/>
                <w:bCs/>
                <w:sz w:val="20"/>
                <w:szCs w:val="20"/>
              </w:rPr>
            </w:pPr>
            <w:r w:rsidRPr="00854E4B">
              <w:rPr>
                <w:rFonts w:ascii="Times New Roman" w:hAnsi="Times New Roman" w:cs="Times New Roman"/>
                <w:b/>
                <w:bCs/>
                <w:sz w:val="20"/>
                <w:szCs w:val="20"/>
              </w:rPr>
              <w:t>4,226,543</w:t>
            </w:r>
          </w:p>
        </w:tc>
        <w:tc>
          <w:tcPr>
            <w:tcW w:w="2013" w:type="dxa"/>
            <w:tcBorders>
              <w:top w:val="nil"/>
              <w:left w:val="nil"/>
              <w:bottom w:val="single" w:sz="8" w:space="0" w:color="000000"/>
              <w:right w:val="single" w:sz="8" w:space="0" w:color="000000"/>
            </w:tcBorders>
            <w:shd w:val="clear" w:color="000000" w:fill="E6E6E6"/>
            <w:hideMark/>
          </w:tcPr>
          <w:p w14:paraId="0B88B24E" w14:textId="1D7C6FBC" w:rsidR="00084CCA" w:rsidRPr="00B107F1" w:rsidRDefault="00854E4B" w:rsidP="00084CCA">
            <w:pPr>
              <w:jc w:val="right"/>
              <w:rPr>
                <w:rFonts w:ascii="Times New Roman" w:hAnsi="Times New Roman" w:cs="Times New Roman"/>
                <w:b/>
                <w:bCs/>
                <w:sz w:val="20"/>
                <w:szCs w:val="20"/>
              </w:rPr>
            </w:pPr>
            <w:r w:rsidRPr="00854E4B">
              <w:rPr>
                <w:rFonts w:ascii="Times New Roman" w:hAnsi="Times New Roman" w:cs="Times New Roman"/>
                <w:b/>
                <w:bCs/>
                <w:sz w:val="20"/>
                <w:szCs w:val="20"/>
              </w:rPr>
              <w:t>4,226,543</w:t>
            </w:r>
          </w:p>
        </w:tc>
        <w:tc>
          <w:tcPr>
            <w:tcW w:w="1071" w:type="dxa"/>
            <w:shd w:val="clear" w:color="auto" w:fill="92D050"/>
            <w:hideMark/>
          </w:tcPr>
          <w:p w14:paraId="162D141C" w14:textId="77777777" w:rsidR="00084CCA" w:rsidRPr="00EB3BFE" w:rsidRDefault="00084CCA" w:rsidP="00084CCA">
            <w:pPr>
              <w:jc w:val="right"/>
              <w:rPr>
                <w:rFonts w:ascii="Times New Roman" w:hAnsi="Times New Roman" w:cs="Times New Roman"/>
                <w:b/>
                <w:sz w:val="20"/>
                <w:szCs w:val="20"/>
              </w:rPr>
            </w:pPr>
          </w:p>
        </w:tc>
      </w:tr>
      <w:tr w:rsidR="004A096A" w:rsidRPr="00EB3BFE" w14:paraId="2F5351B2" w14:textId="77777777" w:rsidTr="007A7870">
        <w:trPr>
          <w:trHeight w:val="550"/>
        </w:trPr>
        <w:tc>
          <w:tcPr>
            <w:tcW w:w="9175" w:type="dxa"/>
            <w:gridSpan w:val="4"/>
            <w:shd w:val="clear" w:color="auto" w:fill="92D050"/>
            <w:hideMark/>
          </w:tcPr>
          <w:p w14:paraId="0FB1B401" w14:textId="72D92999" w:rsidR="004A096A" w:rsidRPr="00EB3BFE" w:rsidRDefault="004A096A" w:rsidP="004A096A">
            <w:pPr>
              <w:rPr>
                <w:rFonts w:ascii="Times New Roman" w:hAnsi="Times New Roman" w:cs="Times New Roman"/>
                <w:b/>
                <w:bCs/>
                <w:sz w:val="20"/>
                <w:szCs w:val="20"/>
              </w:rPr>
            </w:pPr>
            <w:r w:rsidRPr="00EB3BFE">
              <w:rPr>
                <w:rFonts w:ascii="Times New Roman" w:hAnsi="Times New Roman" w:cs="Times New Roman"/>
                <w:b/>
                <w:bCs/>
                <w:sz w:val="20"/>
                <w:szCs w:val="20"/>
              </w:rPr>
              <w:t>Shareholders' Equity</w:t>
            </w:r>
          </w:p>
        </w:tc>
      </w:tr>
      <w:tr w:rsidR="004A096A" w:rsidRPr="00EB3BFE" w14:paraId="5FD63B20" w14:textId="77777777" w:rsidTr="00687A2D">
        <w:trPr>
          <w:trHeight w:val="550"/>
        </w:trPr>
        <w:tc>
          <w:tcPr>
            <w:tcW w:w="4118" w:type="dxa"/>
            <w:shd w:val="clear" w:color="auto" w:fill="92D050"/>
            <w:hideMark/>
          </w:tcPr>
          <w:p w14:paraId="2A71F082" w14:textId="60EA74D6" w:rsidR="004A096A" w:rsidRPr="00EB3BFE" w:rsidRDefault="004A096A" w:rsidP="004A096A">
            <w:pPr>
              <w:rPr>
                <w:rFonts w:ascii="Times New Roman" w:hAnsi="Times New Roman" w:cs="Times New Roman"/>
                <w:b/>
                <w:bCs/>
                <w:sz w:val="20"/>
                <w:szCs w:val="20"/>
              </w:rPr>
            </w:pPr>
            <w:r w:rsidRPr="00EB3BFE">
              <w:rPr>
                <w:rFonts w:ascii="Times New Roman" w:hAnsi="Times New Roman" w:cs="Times New Roman"/>
                <w:b/>
                <w:bCs/>
                <w:sz w:val="20"/>
                <w:szCs w:val="20"/>
              </w:rPr>
              <w:t>Paid-in share capital</w:t>
            </w:r>
          </w:p>
        </w:tc>
        <w:tc>
          <w:tcPr>
            <w:tcW w:w="1973" w:type="dxa"/>
            <w:shd w:val="clear" w:color="auto" w:fill="92D050"/>
            <w:hideMark/>
          </w:tcPr>
          <w:p w14:paraId="702472B5" w14:textId="77777777" w:rsidR="004A096A" w:rsidRPr="00EB3BFE" w:rsidRDefault="004A096A" w:rsidP="004A096A">
            <w:pPr>
              <w:rPr>
                <w:rFonts w:ascii="Times New Roman" w:hAnsi="Times New Roman" w:cs="Times New Roman"/>
                <w:b/>
                <w:bCs/>
                <w:sz w:val="20"/>
                <w:szCs w:val="20"/>
              </w:rPr>
            </w:pPr>
          </w:p>
        </w:tc>
        <w:tc>
          <w:tcPr>
            <w:tcW w:w="2013" w:type="dxa"/>
            <w:shd w:val="clear" w:color="auto" w:fill="92D050"/>
            <w:hideMark/>
          </w:tcPr>
          <w:p w14:paraId="41516E88" w14:textId="77777777" w:rsidR="004A096A" w:rsidRPr="00EB3BFE" w:rsidRDefault="004A096A" w:rsidP="004A096A">
            <w:pPr>
              <w:rPr>
                <w:rFonts w:ascii="Times New Roman" w:hAnsi="Times New Roman" w:cs="Times New Roman"/>
                <w:b/>
                <w:bCs/>
                <w:sz w:val="20"/>
                <w:szCs w:val="20"/>
              </w:rPr>
            </w:pPr>
          </w:p>
        </w:tc>
        <w:tc>
          <w:tcPr>
            <w:tcW w:w="1071" w:type="dxa"/>
            <w:shd w:val="clear" w:color="auto" w:fill="92D050"/>
            <w:hideMark/>
          </w:tcPr>
          <w:p w14:paraId="6C0A3D15" w14:textId="77777777" w:rsidR="004A096A" w:rsidRPr="00EB3BFE" w:rsidRDefault="004A096A" w:rsidP="004A096A">
            <w:pPr>
              <w:rPr>
                <w:rFonts w:ascii="Times New Roman" w:hAnsi="Times New Roman" w:cs="Times New Roman"/>
                <w:b/>
                <w:sz w:val="20"/>
                <w:szCs w:val="20"/>
              </w:rPr>
            </w:pPr>
          </w:p>
        </w:tc>
      </w:tr>
      <w:tr w:rsidR="00B107F1" w:rsidRPr="00EB3BFE" w14:paraId="41617FAC" w14:textId="77777777" w:rsidTr="00687A2D">
        <w:trPr>
          <w:trHeight w:val="550"/>
        </w:trPr>
        <w:tc>
          <w:tcPr>
            <w:tcW w:w="4118" w:type="dxa"/>
            <w:hideMark/>
          </w:tcPr>
          <w:p w14:paraId="38A71510" w14:textId="60BC3C8D" w:rsidR="00B107F1" w:rsidRPr="00EB3BFE" w:rsidRDefault="00B107F1" w:rsidP="00B107F1">
            <w:pPr>
              <w:rPr>
                <w:rFonts w:ascii="Times New Roman" w:hAnsi="Times New Roman" w:cs="Times New Roman"/>
                <w:sz w:val="20"/>
                <w:szCs w:val="20"/>
              </w:rPr>
            </w:pPr>
            <w:r w:rsidRPr="00EB3BFE">
              <w:rPr>
                <w:rFonts w:ascii="Times New Roman" w:hAnsi="Times New Roman" w:cs="Times New Roman"/>
                <w:sz w:val="20"/>
                <w:szCs w:val="20"/>
              </w:rPr>
              <w:t>of which amount eligible for CET1 CAPITAL</w:t>
            </w:r>
          </w:p>
        </w:tc>
        <w:tc>
          <w:tcPr>
            <w:tcW w:w="1973" w:type="dxa"/>
            <w:tcBorders>
              <w:top w:val="nil"/>
              <w:left w:val="nil"/>
              <w:bottom w:val="single" w:sz="8" w:space="0" w:color="000000"/>
              <w:right w:val="single" w:sz="8" w:space="0" w:color="000000"/>
            </w:tcBorders>
            <w:shd w:val="clear" w:color="000000" w:fill="CCCCCC"/>
            <w:vAlign w:val="center"/>
            <w:hideMark/>
          </w:tcPr>
          <w:p w14:paraId="7CDFE9DD" w14:textId="65CDD1A6" w:rsidR="00B107F1" w:rsidRPr="00B107F1" w:rsidRDefault="00B107F1" w:rsidP="00B107F1">
            <w:pPr>
              <w:jc w:val="right"/>
              <w:rPr>
                <w:rFonts w:ascii="Times New Roman" w:hAnsi="Times New Roman" w:cs="Times New Roman"/>
                <w:sz w:val="20"/>
                <w:szCs w:val="20"/>
              </w:rPr>
            </w:pPr>
            <w:r w:rsidRPr="00B107F1">
              <w:rPr>
                <w:rFonts w:ascii="Times New Roman" w:hAnsi="Times New Roman" w:cs="Times New Roman"/>
                <w:sz w:val="20"/>
                <w:szCs w:val="20"/>
              </w:rPr>
              <w:t>140,000</w:t>
            </w:r>
          </w:p>
        </w:tc>
        <w:tc>
          <w:tcPr>
            <w:tcW w:w="2013" w:type="dxa"/>
            <w:tcBorders>
              <w:top w:val="nil"/>
              <w:left w:val="nil"/>
              <w:bottom w:val="single" w:sz="8" w:space="0" w:color="000000"/>
              <w:right w:val="single" w:sz="8" w:space="0" w:color="000000"/>
            </w:tcBorders>
            <w:shd w:val="clear" w:color="000000" w:fill="CCCCCC"/>
            <w:vAlign w:val="center"/>
            <w:hideMark/>
          </w:tcPr>
          <w:p w14:paraId="351BC86F" w14:textId="647F4EA2" w:rsidR="00B107F1" w:rsidRPr="00B107F1" w:rsidRDefault="00B107F1" w:rsidP="00B107F1">
            <w:pPr>
              <w:jc w:val="right"/>
              <w:rPr>
                <w:rFonts w:ascii="Times New Roman" w:hAnsi="Times New Roman" w:cs="Times New Roman"/>
                <w:sz w:val="20"/>
                <w:szCs w:val="20"/>
              </w:rPr>
            </w:pPr>
            <w:r w:rsidRPr="00B107F1">
              <w:rPr>
                <w:rFonts w:ascii="Times New Roman" w:hAnsi="Times New Roman" w:cs="Times New Roman"/>
                <w:sz w:val="20"/>
                <w:szCs w:val="20"/>
              </w:rPr>
              <w:t>140,000</w:t>
            </w:r>
          </w:p>
        </w:tc>
        <w:tc>
          <w:tcPr>
            <w:tcW w:w="1071" w:type="dxa"/>
            <w:hideMark/>
          </w:tcPr>
          <w:p w14:paraId="05E51BA0" w14:textId="315ED8DC" w:rsidR="00B107F1" w:rsidRPr="00EB3BFE" w:rsidRDefault="00B107F1" w:rsidP="00B107F1">
            <w:pPr>
              <w:rPr>
                <w:rFonts w:ascii="Times New Roman" w:hAnsi="Times New Roman" w:cs="Times New Roman"/>
                <w:sz w:val="20"/>
                <w:szCs w:val="20"/>
              </w:rPr>
            </w:pPr>
            <w:r w:rsidRPr="00EB3BFE">
              <w:rPr>
                <w:rFonts w:ascii="Times New Roman" w:hAnsi="Times New Roman" w:cs="Times New Roman"/>
                <w:sz w:val="20"/>
                <w:szCs w:val="20"/>
              </w:rPr>
              <w:t>h</w:t>
            </w:r>
          </w:p>
        </w:tc>
      </w:tr>
      <w:tr w:rsidR="00B107F1" w:rsidRPr="00EB3BFE" w14:paraId="5F2A1EBD" w14:textId="77777777" w:rsidTr="00687A2D">
        <w:trPr>
          <w:trHeight w:val="550"/>
        </w:trPr>
        <w:tc>
          <w:tcPr>
            <w:tcW w:w="4118" w:type="dxa"/>
            <w:hideMark/>
          </w:tcPr>
          <w:p w14:paraId="546BCC50" w14:textId="37743EA5" w:rsidR="00B107F1" w:rsidRPr="00EB3BFE" w:rsidRDefault="00B107F1" w:rsidP="00B107F1">
            <w:pPr>
              <w:rPr>
                <w:rFonts w:ascii="Times New Roman" w:hAnsi="Times New Roman" w:cs="Times New Roman"/>
                <w:sz w:val="20"/>
                <w:szCs w:val="20"/>
              </w:rPr>
            </w:pPr>
            <w:r w:rsidRPr="00EB3BFE">
              <w:rPr>
                <w:rFonts w:ascii="Times New Roman" w:hAnsi="Times New Roman" w:cs="Times New Roman"/>
                <w:sz w:val="20"/>
                <w:szCs w:val="20"/>
              </w:rPr>
              <w:t>of which amount eligible for AT1</w:t>
            </w:r>
          </w:p>
        </w:tc>
        <w:tc>
          <w:tcPr>
            <w:tcW w:w="1973" w:type="dxa"/>
            <w:tcBorders>
              <w:top w:val="nil"/>
              <w:left w:val="nil"/>
              <w:bottom w:val="single" w:sz="8" w:space="0" w:color="000000"/>
              <w:right w:val="single" w:sz="8" w:space="0" w:color="000000"/>
            </w:tcBorders>
            <w:shd w:val="clear" w:color="000000" w:fill="CCCCCC"/>
            <w:vAlign w:val="center"/>
            <w:hideMark/>
          </w:tcPr>
          <w:p w14:paraId="468A094E" w14:textId="6A4D3590" w:rsidR="00B107F1" w:rsidRPr="00B107F1" w:rsidRDefault="007D4149" w:rsidP="00B107F1">
            <w:pPr>
              <w:jc w:val="right"/>
              <w:rPr>
                <w:rFonts w:ascii="Times New Roman" w:hAnsi="Times New Roman" w:cs="Times New Roman"/>
                <w:sz w:val="20"/>
                <w:szCs w:val="20"/>
              </w:rPr>
            </w:pPr>
            <w:r>
              <w:rPr>
                <w:rFonts w:ascii="Times New Roman" w:hAnsi="Times New Roman" w:cs="Times New Roman"/>
                <w:sz w:val="20"/>
                <w:szCs w:val="20"/>
              </w:rPr>
              <w:t>-</w:t>
            </w:r>
          </w:p>
        </w:tc>
        <w:tc>
          <w:tcPr>
            <w:tcW w:w="2013" w:type="dxa"/>
            <w:tcBorders>
              <w:top w:val="nil"/>
              <w:left w:val="nil"/>
              <w:bottom w:val="single" w:sz="8" w:space="0" w:color="000000"/>
              <w:right w:val="single" w:sz="8" w:space="0" w:color="000000"/>
            </w:tcBorders>
            <w:shd w:val="clear" w:color="000000" w:fill="CCCCCC"/>
            <w:vAlign w:val="center"/>
            <w:hideMark/>
          </w:tcPr>
          <w:p w14:paraId="3893D2EC" w14:textId="157CF346" w:rsidR="00B107F1" w:rsidRPr="00B107F1" w:rsidRDefault="007D4149" w:rsidP="00B107F1">
            <w:pPr>
              <w:jc w:val="right"/>
              <w:rPr>
                <w:rFonts w:ascii="Times New Roman" w:hAnsi="Times New Roman" w:cs="Times New Roman"/>
                <w:sz w:val="20"/>
                <w:szCs w:val="20"/>
              </w:rPr>
            </w:pPr>
            <w:r>
              <w:rPr>
                <w:rFonts w:ascii="Times New Roman" w:hAnsi="Times New Roman" w:cs="Times New Roman"/>
                <w:sz w:val="20"/>
                <w:szCs w:val="20"/>
              </w:rPr>
              <w:t>-</w:t>
            </w:r>
          </w:p>
        </w:tc>
        <w:tc>
          <w:tcPr>
            <w:tcW w:w="1071" w:type="dxa"/>
            <w:hideMark/>
          </w:tcPr>
          <w:p w14:paraId="1A0F7C8E" w14:textId="50E34D8D" w:rsidR="00B107F1" w:rsidRPr="00EB3BFE" w:rsidRDefault="00B107F1" w:rsidP="00B107F1">
            <w:pPr>
              <w:rPr>
                <w:rFonts w:ascii="Times New Roman" w:hAnsi="Times New Roman" w:cs="Times New Roman"/>
                <w:sz w:val="20"/>
                <w:szCs w:val="20"/>
              </w:rPr>
            </w:pPr>
            <w:r w:rsidRPr="00EB3BFE">
              <w:rPr>
                <w:rFonts w:ascii="Times New Roman" w:hAnsi="Times New Roman" w:cs="Times New Roman"/>
                <w:sz w:val="20"/>
                <w:szCs w:val="20"/>
              </w:rPr>
              <w:t>i</w:t>
            </w:r>
          </w:p>
        </w:tc>
      </w:tr>
      <w:tr w:rsidR="00B107F1" w:rsidRPr="00EB3BFE" w14:paraId="7DD53F24" w14:textId="77777777" w:rsidTr="00687A2D">
        <w:trPr>
          <w:trHeight w:val="550"/>
        </w:trPr>
        <w:tc>
          <w:tcPr>
            <w:tcW w:w="4118" w:type="dxa"/>
            <w:hideMark/>
          </w:tcPr>
          <w:p w14:paraId="6DEA199D" w14:textId="473ED861" w:rsidR="00B107F1" w:rsidRPr="00EB3BFE" w:rsidRDefault="00B107F1" w:rsidP="00B107F1">
            <w:pPr>
              <w:rPr>
                <w:rFonts w:ascii="Times New Roman" w:hAnsi="Times New Roman" w:cs="Times New Roman"/>
                <w:sz w:val="20"/>
                <w:szCs w:val="20"/>
              </w:rPr>
            </w:pPr>
            <w:r w:rsidRPr="00EB3BFE">
              <w:rPr>
                <w:rFonts w:ascii="Times New Roman" w:hAnsi="Times New Roman" w:cs="Times New Roman"/>
                <w:sz w:val="20"/>
                <w:szCs w:val="20"/>
              </w:rPr>
              <w:t>Retained earnings</w:t>
            </w:r>
          </w:p>
        </w:tc>
        <w:tc>
          <w:tcPr>
            <w:tcW w:w="1973" w:type="dxa"/>
            <w:tcBorders>
              <w:top w:val="nil"/>
              <w:left w:val="nil"/>
              <w:bottom w:val="single" w:sz="8" w:space="0" w:color="000000"/>
              <w:right w:val="single" w:sz="8" w:space="0" w:color="000000"/>
            </w:tcBorders>
            <w:shd w:val="clear" w:color="000000" w:fill="E6E6E6"/>
            <w:vAlign w:val="center"/>
            <w:hideMark/>
          </w:tcPr>
          <w:p w14:paraId="48E59DE3" w14:textId="6E219412" w:rsidR="00B107F1" w:rsidRPr="00B107F1" w:rsidRDefault="00854E4B" w:rsidP="00B107F1">
            <w:pPr>
              <w:jc w:val="right"/>
              <w:rPr>
                <w:rFonts w:ascii="Times New Roman" w:hAnsi="Times New Roman" w:cs="Times New Roman"/>
                <w:sz w:val="20"/>
                <w:szCs w:val="20"/>
              </w:rPr>
            </w:pPr>
            <w:r w:rsidRPr="00854E4B">
              <w:rPr>
                <w:rFonts w:ascii="Times New Roman" w:hAnsi="Times New Roman" w:cs="Times New Roman"/>
                <w:sz w:val="20"/>
                <w:szCs w:val="20"/>
              </w:rPr>
              <w:t>267,757</w:t>
            </w:r>
          </w:p>
        </w:tc>
        <w:tc>
          <w:tcPr>
            <w:tcW w:w="2013" w:type="dxa"/>
            <w:tcBorders>
              <w:top w:val="nil"/>
              <w:left w:val="nil"/>
              <w:bottom w:val="single" w:sz="8" w:space="0" w:color="000000"/>
              <w:right w:val="single" w:sz="8" w:space="0" w:color="000000"/>
            </w:tcBorders>
            <w:shd w:val="clear" w:color="000000" w:fill="E6E6E6"/>
            <w:vAlign w:val="center"/>
            <w:hideMark/>
          </w:tcPr>
          <w:p w14:paraId="2BE6DF10" w14:textId="193A5F11" w:rsidR="00B107F1" w:rsidRPr="00B107F1" w:rsidRDefault="00854E4B" w:rsidP="00B107F1">
            <w:pPr>
              <w:jc w:val="right"/>
              <w:rPr>
                <w:rFonts w:ascii="Times New Roman" w:hAnsi="Times New Roman" w:cs="Times New Roman"/>
                <w:sz w:val="20"/>
                <w:szCs w:val="20"/>
              </w:rPr>
            </w:pPr>
            <w:r w:rsidRPr="00854E4B">
              <w:rPr>
                <w:rFonts w:ascii="Times New Roman" w:hAnsi="Times New Roman" w:cs="Times New Roman"/>
                <w:sz w:val="20"/>
                <w:szCs w:val="20"/>
              </w:rPr>
              <w:t>267,757</w:t>
            </w:r>
          </w:p>
        </w:tc>
        <w:tc>
          <w:tcPr>
            <w:tcW w:w="1071" w:type="dxa"/>
            <w:hideMark/>
          </w:tcPr>
          <w:p w14:paraId="53083B3C" w14:textId="77777777" w:rsidR="00B107F1" w:rsidRPr="00EB3BFE" w:rsidRDefault="00B107F1" w:rsidP="00B107F1">
            <w:pPr>
              <w:rPr>
                <w:rFonts w:ascii="Times New Roman" w:hAnsi="Times New Roman" w:cs="Times New Roman"/>
                <w:sz w:val="20"/>
                <w:szCs w:val="20"/>
              </w:rPr>
            </w:pPr>
          </w:p>
        </w:tc>
      </w:tr>
      <w:tr w:rsidR="00084CCA" w:rsidRPr="00EB3BFE" w14:paraId="0E64F5B6" w14:textId="77777777" w:rsidTr="00687A2D">
        <w:trPr>
          <w:trHeight w:val="550"/>
        </w:trPr>
        <w:tc>
          <w:tcPr>
            <w:tcW w:w="4118" w:type="dxa"/>
            <w:hideMark/>
          </w:tcPr>
          <w:p w14:paraId="78E439D1" w14:textId="1E9758E0" w:rsidR="00084CCA" w:rsidRPr="00EB3BFE" w:rsidRDefault="00084CCA" w:rsidP="00084CCA">
            <w:pPr>
              <w:rPr>
                <w:rFonts w:ascii="Times New Roman" w:hAnsi="Times New Roman" w:cs="Times New Roman"/>
                <w:sz w:val="20"/>
                <w:szCs w:val="20"/>
              </w:rPr>
            </w:pPr>
            <w:r w:rsidRPr="00EB3BFE">
              <w:rPr>
                <w:rFonts w:ascii="Times New Roman" w:hAnsi="Times New Roman" w:cs="Times New Roman"/>
                <w:sz w:val="20"/>
                <w:szCs w:val="20"/>
              </w:rPr>
              <w:t>Accumulated other comprehensive income</w:t>
            </w:r>
          </w:p>
        </w:tc>
        <w:tc>
          <w:tcPr>
            <w:tcW w:w="1973" w:type="dxa"/>
            <w:tcBorders>
              <w:top w:val="nil"/>
              <w:left w:val="nil"/>
              <w:bottom w:val="single" w:sz="8" w:space="0" w:color="000000"/>
              <w:right w:val="single" w:sz="8" w:space="0" w:color="000000"/>
            </w:tcBorders>
            <w:shd w:val="clear" w:color="000000" w:fill="E6E6E6"/>
            <w:hideMark/>
          </w:tcPr>
          <w:p w14:paraId="668AFCF0" w14:textId="0BBA26FF" w:rsidR="00084CCA" w:rsidRPr="00B107F1" w:rsidRDefault="00854E4B" w:rsidP="00084CCA">
            <w:pPr>
              <w:jc w:val="right"/>
              <w:rPr>
                <w:rFonts w:ascii="Times New Roman" w:hAnsi="Times New Roman" w:cs="Times New Roman"/>
                <w:sz w:val="20"/>
                <w:szCs w:val="20"/>
              </w:rPr>
            </w:pPr>
            <w:r w:rsidRPr="00854E4B">
              <w:rPr>
                <w:rFonts w:ascii="Times New Roman" w:hAnsi="Times New Roman" w:cs="Times New Roman"/>
                <w:sz w:val="20"/>
                <w:szCs w:val="20"/>
              </w:rPr>
              <w:t>36,621</w:t>
            </w:r>
          </w:p>
        </w:tc>
        <w:tc>
          <w:tcPr>
            <w:tcW w:w="2013" w:type="dxa"/>
            <w:tcBorders>
              <w:top w:val="nil"/>
              <w:left w:val="nil"/>
              <w:bottom w:val="single" w:sz="8" w:space="0" w:color="000000"/>
              <w:right w:val="single" w:sz="8" w:space="0" w:color="000000"/>
            </w:tcBorders>
            <w:shd w:val="clear" w:color="000000" w:fill="E6E6E6"/>
            <w:hideMark/>
          </w:tcPr>
          <w:p w14:paraId="7D166052" w14:textId="6B9351B0" w:rsidR="00084CCA" w:rsidRPr="00B107F1" w:rsidRDefault="00854E4B" w:rsidP="00084CCA">
            <w:pPr>
              <w:jc w:val="right"/>
              <w:rPr>
                <w:rFonts w:ascii="Times New Roman" w:hAnsi="Times New Roman" w:cs="Times New Roman"/>
                <w:sz w:val="20"/>
                <w:szCs w:val="20"/>
              </w:rPr>
            </w:pPr>
            <w:r w:rsidRPr="00854E4B">
              <w:rPr>
                <w:rFonts w:ascii="Times New Roman" w:hAnsi="Times New Roman" w:cs="Times New Roman"/>
                <w:sz w:val="20"/>
                <w:szCs w:val="20"/>
              </w:rPr>
              <w:t>36,621</w:t>
            </w:r>
          </w:p>
        </w:tc>
        <w:tc>
          <w:tcPr>
            <w:tcW w:w="1071" w:type="dxa"/>
            <w:hideMark/>
          </w:tcPr>
          <w:p w14:paraId="5E7A2186" w14:textId="77777777" w:rsidR="00084CCA" w:rsidRPr="00EB3BFE" w:rsidRDefault="00084CCA" w:rsidP="00084CCA">
            <w:pPr>
              <w:rPr>
                <w:rFonts w:ascii="Times New Roman" w:hAnsi="Times New Roman" w:cs="Times New Roman"/>
                <w:sz w:val="20"/>
                <w:szCs w:val="20"/>
              </w:rPr>
            </w:pPr>
          </w:p>
        </w:tc>
      </w:tr>
      <w:tr w:rsidR="00084CCA" w:rsidRPr="00EB3BFE" w14:paraId="1D793669" w14:textId="77777777" w:rsidTr="00687A2D">
        <w:trPr>
          <w:trHeight w:val="550"/>
        </w:trPr>
        <w:tc>
          <w:tcPr>
            <w:tcW w:w="4118" w:type="dxa"/>
            <w:hideMark/>
          </w:tcPr>
          <w:p w14:paraId="52330D66" w14:textId="2DAFEDDE" w:rsidR="00084CCA" w:rsidRPr="00EB3BFE" w:rsidRDefault="00084CCA" w:rsidP="00084CCA">
            <w:pPr>
              <w:rPr>
                <w:rFonts w:ascii="Times New Roman" w:hAnsi="Times New Roman" w:cs="Times New Roman"/>
                <w:b/>
                <w:bCs/>
                <w:sz w:val="20"/>
                <w:szCs w:val="20"/>
              </w:rPr>
            </w:pPr>
            <w:r w:rsidRPr="00EB3BFE">
              <w:rPr>
                <w:rFonts w:ascii="Times New Roman" w:hAnsi="Times New Roman" w:cs="Times New Roman"/>
                <w:b/>
                <w:bCs/>
                <w:sz w:val="20"/>
                <w:szCs w:val="20"/>
              </w:rPr>
              <w:t>Total shareholders' equity</w:t>
            </w:r>
          </w:p>
        </w:tc>
        <w:tc>
          <w:tcPr>
            <w:tcW w:w="1973" w:type="dxa"/>
            <w:tcBorders>
              <w:top w:val="nil"/>
              <w:left w:val="nil"/>
              <w:bottom w:val="single" w:sz="8" w:space="0" w:color="auto"/>
              <w:right w:val="single" w:sz="8" w:space="0" w:color="000000"/>
            </w:tcBorders>
            <w:shd w:val="clear" w:color="000000" w:fill="E6E6E6"/>
            <w:hideMark/>
          </w:tcPr>
          <w:p w14:paraId="0B95EA6F" w14:textId="0924B6CC" w:rsidR="00084CCA" w:rsidRPr="00B107F1" w:rsidRDefault="00854E4B" w:rsidP="00084CCA">
            <w:pPr>
              <w:jc w:val="right"/>
              <w:rPr>
                <w:rFonts w:ascii="Times New Roman" w:hAnsi="Times New Roman" w:cs="Times New Roman"/>
                <w:b/>
                <w:bCs/>
                <w:sz w:val="20"/>
                <w:szCs w:val="20"/>
              </w:rPr>
            </w:pPr>
            <w:r w:rsidRPr="00854E4B">
              <w:rPr>
                <w:rFonts w:ascii="Times New Roman" w:hAnsi="Times New Roman" w:cs="Times New Roman"/>
                <w:b/>
                <w:bCs/>
                <w:sz w:val="20"/>
                <w:szCs w:val="20"/>
              </w:rPr>
              <w:t>444,377</w:t>
            </w:r>
          </w:p>
        </w:tc>
        <w:tc>
          <w:tcPr>
            <w:tcW w:w="2013" w:type="dxa"/>
            <w:tcBorders>
              <w:top w:val="nil"/>
              <w:left w:val="nil"/>
              <w:bottom w:val="single" w:sz="8" w:space="0" w:color="auto"/>
              <w:right w:val="single" w:sz="8" w:space="0" w:color="000000"/>
            </w:tcBorders>
            <w:shd w:val="clear" w:color="000000" w:fill="E6E6E6"/>
            <w:hideMark/>
          </w:tcPr>
          <w:p w14:paraId="114F58C7" w14:textId="6F5DD1A2" w:rsidR="00084CCA" w:rsidRPr="00B107F1" w:rsidRDefault="00854E4B" w:rsidP="00084CCA">
            <w:pPr>
              <w:jc w:val="right"/>
              <w:rPr>
                <w:rFonts w:ascii="Times New Roman" w:hAnsi="Times New Roman" w:cs="Times New Roman"/>
                <w:b/>
                <w:bCs/>
                <w:sz w:val="20"/>
                <w:szCs w:val="20"/>
              </w:rPr>
            </w:pPr>
            <w:r w:rsidRPr="00854E4B">
              <w:rPr>
                <w:rFonts w:ascii="Times New Roman" w:hAnsi="Times New Roman" w:cs="Times New Roman"/>
                <w:b/>
                <w:bCs/>
                <w:sz w:val="20"/>
                <w:szCs w:val="20"/>
              </w:rPr>
              <w:t>444,377</w:t>
            </w:r>
          </w:p>
        </w:tc>
        <w:tc>
          <w:tcPr>
            <w:tcW w:w="1071" w:type="dxa"/>
            <w:hideMark/>
          </w:tcPr>
          <w:p w14:paraId="2C0D8377" w14:textId="77777777" w:rsidR="00084CCA" w:rsidRPr="00EB3BFE" w:rsidRDefault="00084CCA" w:rsidP="00084CCA">
            <w:pPr>
              <w:rPr>
                <w:rFonts w:ascii="Times New Roman" w:hAnsi="Times New Roman" w:cs="Times New Roman"/>
                <w:b/>
                <w:sz w:val="20"/>
                <w:szCs w:val="20"/>
              </w:rPr>
            </w:pPr>
          </w:p>
        </w:tc>
      </w:tr>
    </w:tbl>
    <w:p w14:paraId="4E292D3D" w14:textId="11C46AC8" w:rsidR="00741E6A" w:rsidRDefault="00741E6A" w:rsidP="00F8167B">
      <w:pPr>
        <w:widowControl w:val="0"/>
        <w:autoSpaceDE w:val="0"/>
        <w:autoSpaceDN w:val="0"/>
        <w:adjustRightInd w:val="0"/>
        <w:rPr>
          <w:rStyle w:val="A5"/>
          <w:rFonts w:ascii="Times New Roman" w:hAnsi="Times New Roman" w:cs="Times New Roman"/>
          <w:b/>
          <w:color w:val="auto"/>
          <w:sz w:val="20"/>
          <w:szCs w:val="20"/>
        </w:rPr>
      </w:pPr>
    </w:p>
    <w:p w14:paraId="425FAB93" w14:textId="77777777" w:rsidR="00BB0964" w:rsidRPr="00B47F53" w:rsidRDefault="000F3EF8" w:rsidP="00F8167B">
      <w:pPr>
        <w:jc w:val="both"/>
        <w:rPr>
          <w:rStyle w:val="A5"/>
          <w:rFonts w:ascii="Times New Roman" w:hAnsi="Times New Roman" w:cs="Times New Roman"/>
          <w:b/>
          <w:sz w:val="20"/>
          <w:szCs w:val="20"/>
        </w:rPr>
      </w:pPr>
      <w:r w:rsidRPr="00B47F53">
        <w:rPr>
          <w:rStyle w:val="A5"/>
          <w:rFonts w:ascii="Times New Roman" w:hAnsi="Times New Roman" w:cs="Times New Roman"/>
          <w:b/>
          <w:sz w:val="20"/>
          <w:szCs w:val="20"/>
        </w:rPr>
        <w:t xml:space="preserve">Table 27: </w:t>
      </w:r>
      <w:r w:rsidR="00BB0964" w:rsidRPr="00B47F53">
        <w:rPr>
          <w:rStyle w:val="A5"/>
          <w:rFonts w:ascii="Times New Roman" w:hAnsi="Times New Roman" w:cs="Times New Roman"/>
          <w:b/>
          <w:sz w:val="20"/>
          <w:szCs w:val="20"/>
        </w:rPr>
        <w:t>Extract of Basel III common disclosure template (with added column)</w:t>
      </w:r>
    </w:p>
    <w:tbl>
      <w:tblPr>
        <w:tblStyle w:val="TableGrid"/>
        <w:tblW w:w="9175" w:type="dxa"/>
        <w:tblLook w:val="04A0" w:firstRow="1" w:lastRow="0" w:firstColumn="1" w:lastColumn="0" w:noHBand="0" w:noVBand="1"/>
      </w:tblPr>
      <w:tblGrid>
        <w:gridCol w:w="562"/>
        <w:gridCol w:w="4848"/>
        <w:gridCol w:w="2235"/>
        <w:gridCol w:w="1530"/>
      </w:tblGrid>
      <w:tr w:rsidR="001A45B4" w:rsidRPr="00B47F53" w14:paraId="02951F77" w14:textId="77777777" w:rsidTr="00051DD1">
        <w:trPr>
          <w:trHeight w:val="459"/>
        </w:trPr>
        <w:tc>
          <w:tcPr>
            <w:tcW w:w="9175" w:type="dxa"/>
            <w:gridSpan w:val="4"/>
            <w:shd w:val="clear" w:color="auto" w:fill="92D050"/>
            <w:hideMark/>
          </w:tcPr>
          <w:p w14:paraId="7858D29F" w14:textId="77777777" w:rsidR="001A45B4" w:rsidRPr="004D64A2" w:rsidRDefault="001A45B4" w:rsidP="001A45B4">
            <w:pPr>
              <w:rPr>
                <w:rFonts w:ascii="Times New Roman" w:hAnsi="Times New Roman" w:cs="Times New Roman"/>
                <w:b/>
                <w:bCs/>
                <w:sz w:val="20"/>
                <w:szCs w:val="20"/>
              </w:rPr>
            </w:pPr>
            <w:bookmarkStart w:id="14" w:name="_Toc517952997"/>
            <w:bookmarkStart w:id="15" w:name="_Toc517881642"/>
            <w:r w:rsidRPr="004D64A2">
              <w:rPr>
                <w:rFonts w:ascii="Times New Roman" w:hAnsi="Times New Roman" w:cs="Times New Roman"/>
                <w:b/>
                <w:bCs/>
                <w:sz w:val="20"/>
                <w:szCs w:val="20"/>
              </w:rPr>
              <w:t>Common Equity Tier I capital: instruments and reserves</w:t>
            </w:r>
          </w:p>
        </w:tc>
      </w:tr>
      <w:tr w:rsidR="001A45B4" w:rsidRPr="00B47F53" w14:paraId="5498199C" w14:textId="77777777" w:rsidTr="007A7870">
        <w:trPr>
          <w:trHeight w:val="870"/>
        </w:trPr>
        <w:tc>
          <w:tcPr>
            <w:tcW w:w="562" w:type="dxa"/>
            <w:vMerge w:val="restart"/>
            <w:shd w:val="clear" w:color="auto" w:fill="92D050"/>
            <w:hideMark/>
          </w:tcPr>
          <w:p w14:paraId="2DE4DBE4" w14:textId="77777777" w:rsidR="001A45B4" w:rsidRPr="00B47F53" w:rsidRDefault="001A45B4" w:rsidP="001A45B4">
            <w:pPr>
              <w:rPr>
                <w:rFonts w:ascii="Times New Roman" w:hAnsi="Times New Roman" w:cs="Times New Roman"/>
                <w:sz w:val="20"/>
                <w:szCs w:val="20"/>
              </w:rPr>
            </w:pPr>
          </w:p>
          <w:p w14:paraId="3FD4947E" w14:textId="77777777" w:rsidR="001A45B4" w:rsidRPr="00B47F53" w:rsidRDefault="001A45B4" w:rsidP="001A45B4">
            <w:pPr>
              <w:rPr>
                <w:rFonts w:ascii="Times New Roman" w:hAnsi="Times New Roman" w:cs="Times New Roman"/>
                <w:sz w:val="20"/>
                <w:szCs w:val="20"/>
              </w:rPr>
            </w:pPr>
          </w:p>
        </w:tc>
        <w:tc>
          <w:tcPr>
            <w:tcW w:w="4848" w:type="dxa"/>
            <w:vMerge w:val="restart"/>
            <w:shd w:val="clear" w:color="auto" w:fill="92D050"/>
            <w:hideMark/>
          </w:tcPr>
          <w:p w14:paraId="59518E5F" w14:textId="77777777" w:rsidR="001A45B4" w:rsidRPr="00B47F53" w:rsidRDefault="001A45B4" w:rsidP="001A45B4">
            <w:pPr>
              <w:rPr>
                <w:rFonts w:ascii="Times New Roman" w:hAnsi="Times New Roman" w:cs="Times New Roman"/>
                <w:sz w:val="20"/>
                <w:szCs w:val="20"/>
              </w:rPr>
            </w:pPr>
            <w:r w:rsidRPr="00B47F53">
              <w:rPr>
                <w:rFonts w:ascii="Times New Roman" w:hAnsi="Times New Roman" w:cs="Times New Roman"/>
                <w:sz w:val="20"/>
                <w:szCs w:val="20"/>
              </w:rPr>
              <w:t> </w:t>
            </w:r>
          </w:p>
        </w:tc>
        <w:tc>
          <w:tcPr>
            <w:tcW w:w="2235" w:type="dxa"/>
            <w:shd w:val="clear" w:color="auto" w:fill="92D050"/>
            <w:hideMark/>
          </w:tcPr>
          <w:p w14:paraId="28CFC23B" w14:textId="77777777" w:rsidR="001A45B4" w:rsidRPr="00B47F53" w:rsidRDefault="001A45B4" w:rsidP="001A45B4">
            <w:pPr>
              <w:rPr>
                <w:rFonts w:ascii="Times New Roman" w:hAnsi="Times New Roman" w:cs="Times New Roman"/>
                <w:sz w:val="20"/>
                <w:szCs w:val="20"/>
              </w:rPr>
            </w:pPr>
            <w:r w:rsidRPr="00B47F53">
              <w:rPr>
                <w:rFonts w:ascii="Times New Roman" w:hAnsi="Times New Roman" w:cs="Times New Roman"/>
                <w:sz w:val="20"/>
                <w:szCs w:val="20"/>
              </w:rPr>
              <w:t>Component of regulatory capital reported</w:t>
            </w:r>
          </w:p>
        </w:tc>
        <w:tc>
          <w:tcPr>
            <w:tcW w:w="1530" w:type="dxa"/>
            <w:vMerge w:val="restart"/>
            <w:shd w:val="clear" w:color="auto" w:fill="92D050"/>
            <w:hideMark/>
          </w:tcPr>
          <w:p w14:paraId="455B249B" w14:textId="539C1D7A" w:rsidR="001A45B4" w:rsidRPr="00B47F53" w:rsidRDefault="001A45B4" w:rsidP="001A45B4">
            <w:pPr>
              <w:rPr>
                <w:rFonts w:ascii="Times New Roman" w:hAnsi="Times New Roman" w:cs="Times New Roman"/>
                <w:sz w:val="20"/>
                <w:szCs w:val="20"/>
              </w:rPr>
            </w:pPr>
            <w:r w:rsidRPr="00B47F53">
              <w:rPr>
                <w:rFonts w:ascii="Times New Roman" w:hAnsi="Times New Roman" w:cs="Times New Roman"/>
                <w:sz w:val="20"/>
                <w:szCs w:val="20"/>
              </w:rPr>
              <w:t xml:space="preserve">Source based on </w:t>
            </w:r>
            <w:r w:rsidR="00F3365A" w:rsidRPr="00B47F53">
              <w:rPr>
                <w:rFonts w:ascii="Times New Roman" w:hAnsi="Times New Roman" w:cs="Times New Roman"/>
                <w:sz w:val="20"/>
                <w:szCs w:val="20"/>
              </w:rPr>
              <w:t>Reference numbers</w:t>
            </w:r>
            <w:r w:rsidRPr="00B47F53">
              <w:rPr>
                <w:rFonts w:ascii="Times New Roman" w:hAnsi="Times New Roman" w:cs="Times New Roman"/>
                <w:sz w:val="20"/>
                <w:szCs w:val="20"/>
              </w:rPr>
              <w:t>/letters of the balance sheet under the regulatory scope of consolidation from step 2.</w:t>
            </w:r>
          </w:p>
        </w:tc>
      </w:tr>
      <w:tr w:rsidR="001A45B4" w:rsidRPr="00B47F53" w14:paraId="7E0A5455" w14:textId="77777777" w:rsidTr="007A7870">
        <w:trPr>
          <w:trHeight w:val="870"/>
        </w:trPr>
        <w:tc>
          <w:tcPr>
            <w:tcW w:w="562" w:type="dxa"/>
            <w:vMerge/>
            <w:hideMark/>
          </w:tcPr>
          <w:p w14:paraId="6A1B6490" w14:textId="77777777" w:rsidR="001A45B4" w:rsidRPr="00B47F53" w:rsidRDefault="001A45B4" w:rsidP="001A45B4">
            <w:pPr>
              <w:rPr>
                <w:rFonts w:ascii="Times New Roman" w:hAnsi="Times New Roman" w:cs="Times New Roman"/>
                <w:sz w:val="20"/>
                <w:szCs w:val="20"/>
              </w:rPr>
            </w:pPr>
          </w:p>
        </w:tc>
        <w:tc>
          <w:tcPr>
            <w:tcW w:w="4848" w:type="dxa"/>
            <w:vMerge/>
            <w:hideMark/>
          </w:tcPr>
          <w:p w14:paraId="37EDE1EC" w14:textId="77777777" w:rsidR="001A45B4" w:rsidRPr="00B47F53" w:rsidRDefault="001A45B4" w:rsidP="001A45B4">
            <w:pPr>
              <w:rPr>
                <w:rFonts w:ascii="Times New Roman" w:hAnsi="Times New Roman" w:cs="Times New Roman"/>
                <w:sz w:val="20"/>
                <w:szCs w:val="20"/>
              </w:rPr>
            </w:pPr>
          </w:p>
        </w:tc>
        <w:tc>
          <w:tcPr>
            <w:tcW w:w="2235" w:type="dxa"/>
            <w:shd w:val="clear" w:color="auto" w:fill="92D050"/>
            <w:hideMark/>
          </w:tcPr>
          <w:p w14:paraId="3C00ED02" w14:textId="77777777" w:rsidR="001A45B4" w:rsidRPr="00B47F53" w:rsidRDefault="001A45B4" w:rsidP="001A45B4">
            <w:pPr>
              <w:rPr>
                <w:rFonts w:ascii="Times New Roman" w:hAnsi="Times New Roman" w:cs="Times New Roman"/>
                <w:sz w:val="20"/>
                <w:szCs w:val="20"/>
              </w:rPr>
            </w:pPr>
            <w:r w:rsidRPr="00B47F53">
              <w:rPr>
                <w:rFonts w:ascii="Times New Roman" w:hAnsi="Times New Roman" w:cs="Times New Roman"/>
                <w:sz w:val="20"/>
                <w:szCs w:val="20"/>
              </w:rPr>
              <w:t>by bank</w:t>
            </w:r>
          </w:p>
        </w:tc>
        <w:tc>
          <w:tcPr>
            <w:tcW w:w="1530" w:type="dxa"/>
            <w:vMerge/>
            <w:hideMark/>
          </w:tcPr>
          <w:p w14:paraId="0A912A24" w14:textId="77777777" w:rsidR="001A45B4" w:rsidRPr="00B47F53" w:rsidRDefault="001A45B4" w:rsidP="001A45B4">
            <w:pPr>
              <w:rPr>
                <w:rFonts w:ascii="Times New Roman" w:hAnsi="Times New Roman" w:cs="Times New Roman"/>
                <w:sz w:val="20"/>
                <w:szCs w:val="20"/>
              </w:rPr>
            </w:pPr>
          </w:p>
        </w:tc>
      </w:tr>
      <w:tr w:rsidR="00984599" w:rsidRPr="00B47F53" w14:paraId="3A621ADE" w14:textId="77777777" w:rsidTr="007A7870">
        <w:trPr>
          <w:trHeight w:val="593"/>
        </w:trPr>
        <w:tc>
          <w:tcPr>
            <w:tcW w:w="562" w:type="dxa"/>
            <w:vMerge w:val="restart"/>
            <w:hideMark/>
          </w:tcPr>
          <w:p w14:paraId="6D5235FD" w14:textId="77777777" w:rsidR="00984599" w:rsidRPr="00B47F53" w:rsidRDefault="00984599" w:rsidP="00984599">
            <w:pPr>
              <w:rPr>
                <w:rFonts w:ascii="Times New Roman" w:hAnsi="Times New Roman" w:cs="Times New Roman"/>
                <w:sz w:val="20"/>
                <w:szCs w:val="20"/>
              </w:rPr>
            </w:pPr>
            <w:r w:rsidRPr="00B47F53">
              <w:rPr>
                <w:rFonts w:ascii="Times New Roman" w:hAnsi="Times New Roman" w:cs="Times New Roman"/>
                <w:sz w:val="20"/>
                <w:szCs w:val="20"/>
              </w:rPr>
              <w:t>1</w:t>
            </w:r>
          </w:p>
          <w:p w14:paraId="05EE2785" w14:textId="77777777" w:rsidR="00984599" w:rsidRPr="00B47F53" w:rsidRDefault="00984599" w:rsidP="00984599">
            <w:pPr>
              <w:rPr>
                <w:rFonts w:ascii="Times New Roman" w:hAnsi="Times New Roman" w:cs="Times New Roman"/>
                <w:sz w:val="20"/>
                <w:szCs w:val="20"/>
              </w:rPr>
            </w:pPr>
          </w:p>
        </w:tc>
        <w:tc>
          <w:tcPr>
            <w:tcW w:w="4848" w:type="dxa"/>
            <w:hideMark/>
          </w:tcPr>
          <w:p w14:paraId="1C6ECF7E" w14:textId="77777777" w:rsidR="00984599" w:rsidRPr="00B47F53" w:rsidRDefault="00984599" w:rsidP="00984599">
            <w:pPr>
              <w:rPr>
                <w:rFonts w:ascii="Times New Roman" w:hAnsi="Times New Roman" w:cs="Times New Roman"/>
                <w:sz w:val="20"/>
                <w:szCs w:val="20"/>
              </w:rPr>
            </w:pPr>
            <w:r w:rsidRPr="00B47F53">
              <w:rPr>
                <w:rFonts w:ascii="Times New Roman" w:hAnsi="Times New Roman" w:cs="Times New Roman"/>
                <w:sz w:val="20"/>
                <w:szCs w:val="20"/>
              </w:rPr>
              <w:t>Directly issued qualifying common share (and equivalent for non-joint stock</w:t>
            </w:r>
          </w:p>
        </w:tc>
        <w:tc>
          <w:tcPr>
            <w:tcW w:w="2235" w:type="dxa"/>
            <w:vMerge w:val="restart"/>
            <w:hideMark/>
          </w:tcPr>
          <w:p w14:paraId="3C649907" w14:textId="77777777" w:rsidR="00984599" w:rsidRPr="00984599" w:rsidRDefault="00984599" w:rsidP="00984599">
            <w:pPr>
              <w:pStyle w:val="NoSpacing"/>
              <w:jc w:val="right"/>
              <w:rPr>
                <w:rFonts w:ascii="Times New Roman" w:hAnsi="Times New Roman" w:cs="Times New Roman"/>
                <w:sz w:val="20"/>
                <w:szCs w:val="20"/>
              </w:rPr>
            </w:pPr>
            <w:r w:rsidRPr="00984599">
              <w:rPr>
                <w:rFonts w:ascii="Times New Roman" w:hAnsi="Times New Roman" w:cs="Times New Roman"/>
                <w:sz w:val="20"/>
                <w:szCs w:val="20"/>
              </w:rPr>
              <w:t>140,000</w:t>
            </w:r>
          </w:p>
          <w:p w14:paraId="621AD4C3" w14:textId="09FCA578" w:rsidR="00984599" w:rsidRPr="00984599" w:rsidRDefault="00984599" w:rsidP="00984599">
            <w:pPr>
              <w:pStyle w:val="NoSpacing"/>
              <w:jc w:val="right"/>
              <w:rPr>
                <w:rFonts w:ascii="Times New Roman" w:hAnsi="Times New Roman" w:cs="Times New Roman"/>
                <w:sz w:val="20"/>
                <w:szCs w:val="20"/>
              </w:rPr>
            </w:pPr>
          </w:p>
        </w:tc>
        <w:tc>
          <w:tcPr>
            <w:tcW w:w="1530" w:type="dxa"/>
            <w:vMerge w:val="restart"/>
            <w:hideMark/>
          </w:tcPr>
          <w:p w14:paraId="3A611B53" w14:textId="77777777" w:rsidR="00984599" w:rsidRPr="00B47F53" w:rsidRDefault="00984599" w:rsidP="00677641">
            <w:pPr>
              <w:pStyle w:val="NoSpacing"/>
              <w:rPr>
                <w:rFonts w:ascii="Times New Roman" w:hAnsi="Times New Roman" w:cs="Times New Roman"/>
                <w:sz w:val="20"/>
                <w:szCs w:val="20"/>
              </w:rPr>
            </w:pPr>
            <w:r w:rsidRPr="00B47F53">
              <w:rPr>
                <w:rFonts w:ascii="Times New Roman" w:hAnsi="Times New Roman" w:cs="Times New Roman"/>
                <w:sz w:val="20"/>
                <w:szCs w:val="20"/>
              </w:rPr>
              <w:t>h</w:t>
            </w:r>
          </w:p>
        </w:tc>
      </w:tr>
      <w:tr w:rsidR="00984599" w:rsidRPr="00B47F53" w14:paraId="012B08C4" w14:textId="77777777" w:rsidTr="007A7870">
        <w:trPr>
          <w:trHeight w:val="350"/>
        </w:trPr>
        <w:tc>
          <w:tcPr>
            <w:tcW w:w="562" w:type="dxa"/>
            <w:vMerge/>
            <w:hideMark/>
          </w:tcPr>
          <w:p w14:paraId="60AD76B6" w14:textId="77777777" w:rsidR="00984599" w:rsidRPr="00B47F53" w:rsidRDefault="00984599" w:rsidP="00984599">
            <w:pPr>
              <w:rPr>
                <w:rFonts w:ascii="Times New Roman" w:hAnsi="Times New Roman" w:cs="Times New Roman"/>
                <w:i/>
                <w:iCs/>
                <w:sz w:val="20"/>
                <w:szCs w:val="20"/>
              </w:rPr>
            </w:pPr>
          </w:p>
        </w:tc>
        <w:tc>
          <w:tcPr>
            <w:tcW w:w="4848" w:type="dxa"/>
            <w:hideMark/>
          </w:tcPr>
          <w:p w14:paraId="79B00991" w14:textId="77777777" w:rsidR="00984599" w:rsidRPr="00B47F53" w:rsidRDefault="00984599" w:rsidP="00984599">
            <w:pPr>
              <w:rPr>
                <w:rFonts w:ascii="Times New Roman" w:hAnsi="Times New Roman" w:cs="Times New Roman"/>
                <w:sz w:val="20"/>
                <w:szCs w:val="20"/>
              </w:rPr>
            </w:pPr>
            <w:r w:rsidRPr="00B47F53">
              <w:rPr>
                <w:rFonts w:ascii="Times New Roman" w:hAnsi="Times New Roman" w:cs="Times New Roman"/>
                <w:sz w:val="20"/>
                <w:szCs w:val="20"/>
              </w:rPr>
              <w:t>companies) capital plus related stock surplus.</w:t>
            </w:r>
          </w:p>
        </w:tc>
        <w:tc>
          <w:tcPr>
            <w:tcW w:w="2235" w:type="dxa"/>
            <w:vMerge/>
            <w:hideMark/>
          </w:tcPr>
          <w:p w14:paraId="716BFDA1" w14:textId="77777777" w:rsidR="00984599" w:rsidRPr="00984599" w:rsidRDefault="00984599" w:rsidP="00984599">
            <w:pPr>
              <w:pStyle w:val="NoSpacing"/>
              <w:jc w:val="right"/>
              <w:rPr>
                <w:rFonts w:ascii="Times New Roman" w:hAnsi="Times New Roman" w:cs="Times New Roman"/>
                <w:sz w:val="20"/>
                <w:szCs w:val="20"/>
              </w:rPr>
            </w:pPr>
          </w:p>
        </w:tc>
        <w:tc>
          <w:tcPr>
            <w:tcW w:w="1530" w:type="dxa"/>
            <w:vMerge/>
            <w:hideMark/>
          </w:tcPr>
          <w:p w14:paraId="56EDF05D" w14:textId="77777777" w:rsidR="00984599" w:rsidRPr="00B47F53" w:rsidRDefault="00984599" w:rsidP="00677641">
            <w:pPr>
              <w:pStyle w:val="NoSpacing"/>
              <w:rPr>
                <w:rFonts w:ascii="Times New Roman" w:hAnsi="Times New Roman" w:cs="Times New Roman"/>
                <w:sz w:val="20"/>
                <w:szCs w:val="20"/>
              </w:rPr>
            </w:pPr>
          </w:p>
        </w:tc>
      </w:tr>
      <w:tr w:rsidR="00984599" w:rsidRPr="00B47F53" w14:paraId="31897649" w14:textId="77777777" w:rsidTr="007A7870">
        <w:trPr>
          <w:trHeight w:val="440"/>
        </w:trPr>
        <w:tc>
          <w:tcPr>
            <w:tcW w:w="562" w:type="dxa"/>
            <w:hideMark/>
          </w:tcPr>
          <w:p w14:paraId="6AFBE6AC" w14:textId="77777777" w:rsidR="00984599" w:rsidRPr="00B47F53" w:rsidRDefault="00984599" w:rsidP="00984599">
            <w:pPr>
              <w:rPr>
                <w:rFonts w:ascii="Times New Roman" w:hAnsi="Times New Roman" w:cs="Times New Roman"/>
                <w:sz w:val="20"/>
                <w:szCs w:val="20"/>
              </w:rPr>
            </w:pPr>
            <w:r w:rsidRPr="00B47F53">
              <w:rPr>
                <w:rFonts w:ascii="Times New Roman" w:hAnsi="Times New Roman" w:cs="Times New Roman"/>
                <w:sz w:val="20"/>
                <w:szCs w:val="20"/>
              </w:rPr>
              <w:t>2</w:t>
            </w:r>
          </w:p>
        </w:tc>
        <w:tc>
          <w:tcPr>
            <w:tcW w:w="4848" w:type="dxa"/>
            <w:hideMark/>
          </w:tcPr>
          <w:p w14:paraId="5CCD396A" w14:textId="77777777" w:rsidR="00984599" w:rsidRPr="00B47F53" w:rsidRDefault="00984599" w:rsidP="00984599">
            <w:pPr>
              <w:rPr>
                <w:rFonts w:ascii="Times New Roman" w:hAnsi="Times New Roman" w:cs="Times New Roman"/>
                <w:sz w:val="20"/>
                <w:szCs w:val="20"/>
              </w:rPr>
            </w:pPr>
            <w:r w:rsidRPr="00B47F53">
              <w:rPr>
                <w:rFonts w:ascii="Times New Roman" w:hAnsi="Times New Roman" w:cs="Times New Roman"/>
                <w:sz w:val="20"/>
                <w:szCs w:val="20"/>
              </w:rPr>
              <w:t>Retained earnings</w:t>
            </w:r>
          </w:p>
        </w:tc>
        <w:tc>
          <w:tcPr>
            <w:tcW w:w="2235" w:type="dxa"/>
            <w:hideMark/>
          </w:tcPr>
          <w:p w14:paraId="4820704C" w14:textId="75785AA7" w:rsidR="00984599" w:rsidRPr="00984599" w:rsidRDefault="00854E4B" w:rsidP="00984599">
            <w:pPr>
              <w:pStyle w:val="NoSpacing"/>
              <w:jc w:val="right"/>
              <w:rPr>
                <w:rFonts w:ascii="Times New Roman" w:hAnsi="Times New Roman" w:cs="Times New Roman"/>
                <w:sz w:val="20"/>
                <w:szCs w:val="20"/>
              </w:rPr>
            </w:pPr>
            <w:r w:rsidRPr="00854E4B">
              <w:rPr>
                <w:rFonts w:ascii="Times New Roman" w:hAnsi="Times New Roman" w:cs="Times New Roman"/>
                <w:sz w:val="20"/>
                <w:szCs w:val="20"/>
              </w:rPr>
              <w:t>267,757</w:t>
            </w:r>
          </w:p>
        </w:tc>
        <w:tc>
          <w:tcPr>
            <w:tcW w:w="1530" w:type="dxa"/>
            <w:hideMark/>
          </w:tcPr>
          <w:p w14:paraId="1F80F6D1" w14:textId="77777777" w:rsidR="00984599" w:rsidRPr="00B47F53" w:rsidRDefault="00984599" w:rsidP="00677641">
            <w:pPr>
              <w:pStyle w:val="NoSpacing"/>
              <w:rPr>
                <w:rFonts w:ascii="Times New Roman" w:hAnsi="Times New Roman" w:cs="Times New Roman"/>
                <w:sz w:val="20"/>
                <w:szCs w:val="20"/>
              </w:rPr>
            </w:pPr>
            <w:r w:rsidRPr="00B47F53">
              <w:rPr>
                <w:rFonts w:ascii="Times New Roman" w:hAnsi="Times New Roman" w:cs="Times New Roman"/>
                <w:sz w:val="20"/>
                <w:szCs w:val="20"/>
              </w:rPr>
              <w:t> </w:t>
            </w:r>
          </w:p>
        </w:tc>
      </w:tr>
      <w:tr w:rsidR="00984599" w:rsidRPr="00B47F53" w14:paraId="1BF04800" w14:textId="77777777" w:rsidTr="004D64A2">
        <w:trPr>
          <w:trHeight w:val="70"/>
        </w:trPr>
        <w:tc>
          <w:tcPr>
            <w:tcW w:w="562" w:type="dxa"/>
            <w:hideMark/>
          </w:tcPr>
          <w:p w14:paraId="018B9781" w14:textId="77777777" w:rsidR="00984599" w:rsidRPr="00B47F53" w:rsidRDefault="00984599" w:rsidP="00984599">
            <w:pPr>
              <w:rPr>
                <w:rFonts w:ascii="Times New Roman" w:hAnsi="Times New Roman" w:cs="Times New Roman"/>
                <w:sz w:val="20"/>
                <w:szCs w:val="20"/>
              </w:rPr>
            </w:pPr>
            <w:r w:rsidRPr="00B47F53">
              <w:rPr>
                <w:rFonts w:ascii="Times New Roman" w:hAnsi="Times New Roman" w:cs="Times New Roman"/>
                <w:sz w:val="20"/>
                <w:szCs w:val="20"/>
              </w:rPr>
              <w:t>3</w:t>
            </w:r>
          </w:p>
        </w:tc>
        <w:tc>
          <w:tcPr>
            <w:tcW w:w="4848" w:type="dxa"/>
            <w:hideMark/>
          </w:tcPr>
          <w:p w14:paraId="633FE031" w14:textId="77777777" w:rsidR="00984599" w:rsidRPr="00B47F53" w:rsidRDefault="00984599" w:rsidP="00984599">
            <w:pPr>
              <w:rPr>
                <w:rFonts w:ascii="Times New Roman" w:hAnsi="Times New Roman" w:cs="Times New Roman"/>
                <w:sz w:val="20"/>
                <w:szCs w:val="20"/>
              </w:rPr>
            </w:pPr>
            <w:r w:rsidRPr="00B47F53">
              <w:rPr>
                <w:rFonts w:ascii="Times New Roman" w:hAnsi="Times New Roman" w:cs="Times New Roman"/>
                <w:sz w:val="20"/>
                <w:szCs w:val="20"/>
              </w:rPr>
              <w:t>Accumulated other comprehensive income (and other reserves)</w:t>
            </w:r>
          </w:p>
        </w:tc>
        <w:tc>
          <w:tcPr>
            <w:tcW w:w="2235" w:type="dxa"/>
            <w:hideMark/>
          </w:tcPr>
          <w:p w14:paraId="248897B6" w14:textId="2A1DBCC6" w:rsidR="00984599" w:rsidRPr="00984599" w:rsidRDefault="00984599" w:rsidP="00984599">
            <w:pPr>
              <w:pStyle w:val="NoSpacing"/>
              <w:jc w:val="right"/>
              <w:rPr>
                <w:rFonts w:ascii="Times New Roman" w:hAnsi="Times New Roman" w:cs="Times New Roman"/>
                <w:sz w:val="20"/>
                <w:szCs w:val="20"/>
              </w:rPr>
            </w:pPr>
            <w:r w:rsidRPr="00984599">
              <w:rPr>
                <w:rFonts w:ascii="Times New Roman" w:hAnsi="Times New Roman" w:cs="Times New Roman"/>
                <w:sz w:val="20"/>
                <w:szCs w:val="20"/>
              </w:rPr>
              <w:t xml:space="preserve"> </w:t>
            </w:r>
            <w:r w:rsidR="00854E4B" w:rsidRPr="00854E4B">
              <w:rPr>
                <w:rFonts w:ascii="Times New Roman" w:hAnsi="Times New Roman" w:cs="Times New Roman"/>
                <w:sz w:val="20"/>
                <w:szCs w:val="20"/>
              </w:rPr>
              <w:t xml:space="preserve"> -   </w:t>
            </w:r>
          </w:p>
        </w:tc>
        <w:tc>
          <w:tcPr>
            <w:tcW w:w="1530" w:type="dxa"/>
            <w:hideMark/>
          </w:tcPr>
          <w:p w14:paraId="2730F33E" w14:textId="77777777" w:rsidR="00984599" w:rsidRPr="00B47F53" w:rsidRDefault="00984599" w:rsidP="00677641">
            <w:pPr>
              <w:pStyle w:val="NoSpacing"/>
              <w:rPr>
                <w:rFonts w:ascii="Times New Roman" w:hAnsi="Times New Roman" w:cs="Times New Roman"/>
                <w:sz w:val="20"/>
                <w:szCs w:val="20"/>
              </w:rPr>
            </w:pPr>
            <w:r w:rsidRPr="00B47F53">
              <w:rPr>
                <w:rFonts w:ascii="Times New Roman" w:hAnsi="Times New Roman" w:cs="Times New Roman"/>
                <w:sz w:val="20"/>
                <w:szCs w:val="20"/>
              </w:rPr>
              <w:t> </w:t>
            </w:r>
          </w:p>
        </w:tc>
      </w:tr>
      <w:tr w:rsidR="00984599" w:rsidRPr="00B47F53" w14:paraId="51B8B427" w14:textId="77777777" w:rsidTr="007A7870">
        <w:trPr>
          <w:trHeight w:val="620"/>
        </w:trPr>
        <w:tc>
          <w:tcPr>
            <w:tcW w:w="562" w:type="dxa"/>
            <w:hideMark/>
          </w:tcPr>
          <w:p w14:paraId="6C06DD7F" w14:textId="77777777" w:rsidR="00984599" w:rsidRPr="00B47F53" w:rsidRDefault="00984599" w:rsidP="00984599">
            <w:pPr>
              <w:rPr>
                <w:rFonts w:ascii="Times New Roman" w:hAnsi="Times New Roman" w:cs="Times New Roman"/>
                <w:sz w:val="20"/>
                <w:szCs w:val="20"/>
              </w:rPr>
            </w:pPr>
            <w:r w:rsidRPr="00B47F53">
              <w:rPr>
                <w:rFonts w:ascii="Times New Roman" w:hAnsi="Times New Roman" w:cs="Times New Roman"/>
                <w:sz w:val="20"/>
                <w:szCs w:val="20"/>
              </w:rPr>
              <w:t>4</w:t>
            </w:r>
          </w:p>
        </w:tc>
        <w:tc>
          <w:tcPr>
            <w:tcW w:w="4848" w:type="dxa"/>
            <w:hideMark/>
          </w:tcPr>
          <w:p w14:paraId="5E6C4580" w14:textId="77777777" w:rsidR="00984599" w:rsidRPr="00B47F53" w:rsidRDefault="00984599" w:rsidP="00984599">
            <w:pPr>
              <w:rPr>
                <w:rFonts w:ascii="Times New Roman" w:hAnsi="Times New Roman" w:cs="Times New Roman"/>
                <w:i/>
                <w:iCs/>
                <w:sz w:val="20"/>
                <w:szCs w:val="20"/>
              </w:rPr>
            </w:pPr>
            <w:r w:rsidRPr="00B47F53">
              <w:rPr>
                <w:rFonts w:ascii="Times New Roman" w:hAnsi="Times New Roman" w:cs="Times New Roman"/>
                <w:i/>
                <w:iCs/>
                <w:sz w:val="20"/>
                <w:szCs w:val="20"/>
              </w:rPr>
              <w:t>Directly issued capital subject to phase out from CET1 CAPITAL (only applicable to non- joint stock companies)</w:t>
            </w:r>
          </w:p>
        </w:tc>
        <w:tc>
          <w:tcPr>
            <w:tcW w:w="2235" w:type="dxa"/>
            <w:hideMark/>
          </w:tcPr>
          <w:p w14:paraId="7AB31CC8" w14:textId="26BD0BB0" w:rsidR="00984599" w:rsidRPr="00984599" w:rsidRDefault="00984599" w:rsidP="00984599">
            <w:pPr>
              <w:pStyle w:val="NoSpacing"/>
              <w:jc w:val="right"/>
              <w:rPr>
                <w:rFonts w:ascii="Times New Roman" w:hAnsi="Times New Roman" w:cs="Times New Roman"/>
                <w:sz w:val="20"/>
                <w:szCs w:val="20"/>
              </w:rPr>
            </w:pPr>
            <w:r w:rsidRPr="00984599">
              <w:rPr>
                <w:rFonts w:ascii="Times New Roman" w:hAnsi="Times New Roman" w:cs="Times New Roman"/>
                <w:sz w:val="20"/>
                <w:szCs w:val="20"/>
              </w:rPr>
              <w:t xml:space="preserve"> -   </w:t>
            </w:r>
          </w:p>
        </w:tc>
        <w:tc>
          <w:tcPr>
            <w:tcW w:w="1530" w:type="dxa"/>
            <w:hideMark/>
          </w:tcPr>
          <w:p w14:paraId="44642A54" w14:textId="77777777" w:rsidR="00984599" w:rsidRPr="00B47F53" w:rsidRDefault="00984599" w:rsidP="00677641">
            <w:pPr>
              <w:pStyle w:val="NoSpacing"/>
              <w:rPr>
                <w:rFonts w:ascii="Times New Roman" w:hAnsi="Times New Roman" w:cs="Times New Roman"/>
                <w:sz w:val="20"/>
                <w:szCs w:val="20"/>
              </w:rPr>
            </w:pPr>
            <w:r w:rsidRPr="00B47F53">
              <w:rPr>
                <w:rFonts w:ascii="Times New Roman" w:hAnsi="Times New Roman" w:cs="Times New Roman"/>
                <w:sz w:val="20"/>
                <w:szCs w:val="20"/>
              </w:rPr>
              <w:t> </w:t>
            </w:r>
          </w:p>
        </w:tc>
      </w:tr>
      <w:tr w:rsidR="00984599" w:rsidRPr="00B47F53" w14:paraId="46C42D01" w14:textId="77777777" w:rsidTr="008D7839">
        <w:trPr>
          <w:trHeight w:val="638"/>
        </w:trPr>
        <w:tc>
          <w:tcPr>
            <w:tcW w:w="562" w:type="dxa"/>
            <w:hideMark/>
          </w:tcPr>
          <w:p w14:paraId="35E41BA1" w14:textId="77777777" w:rsidR="00984599" w:rsidRPr="00B47F53" w:rsidRDefault="00984599" w:rsidP="00984599">
            <w:pPr>
              <w:rPr>
                <w:rFonts w:ascii="Times New Roman" w:hAnsi="Times New Roman" w:cs="Times New Roman"/>
                <w:sz w:val="20"/>
                <w:szCs w:val="20"/>
              </w:rPr>
            </w:pPr>
            <w:r w:rsidRPr="00B47F53">
              <w:rPr>
                <w:rFonts w:ascii="Times New Roman" w:hAnsi="Times New Roman" w:cs="Times New Roman"/>
                <w:sz w:val="20"/>
                <w:szCs w:val="20"/>
              </w:rPr>
              <w:t>5</w:t>
            </w:r>
          </w:p>
        </w:tc>
        <w:tc>
          <w:tcPr>
            <w:tcW w:w="4848" w:type="dxa"/>
            <w:hideMark/>
          </w:tcPr>
          <w:p w14:paraId="0B04B2B4" w14:textId="77777777" w:rsidR="00984599" w:rsidRPr="00B47F53" w:rsidRDefault="00984599" w:rsidP="00984599">
            <w:pPr>
              <w:rPr>
                <w:rFonts w:ascii="Times New Roman" w:hAnsi="Times New Roman" w:cs="Times New Roman"/>
                <w:sz w:val="20"/>
                <w:szCs w:val="20"/>
              </w:rPr>
            </w:pPr>
            <w:r w:rsidRPr="00B47F53">
              <w:rPr>
                <w:rFonts w:ascii="Times New Roman" w:hAnsi="Times New Roman" w:cs="Times New Roman"/>
                <w:sz w:val="20"/>
                <w:szCs w:val="20"/>
              </w:rPr>
              <w:t>Common share capital issued by subsidiaries and held by third parties (amount) allowed in group CET1 CAPITAL)</w:t>
            </w:r>
          </w:p>
        </w:tc>
        <w:tc>
          <w:tcPr>
            <w:tcW w:w="2235" w:type="dxa"/>
            <w:hideMark/>
          </w:tcPr>
          <w:p w14:paraId="4E48543E" w14:textId="7AEE81A7" w:rsidR="00984599" w:rsidRPr="00984599" w:rsidRDefault="00984599" w:rsidP="00984599">
            <w:pPr>
              <w:pStyle w:val="NoSpacing"/>
              <w:jc w:val="right"/>
              <w:rPr>
                <w:rFonts w:ascii="Times New Roman" w:hAnsi="Times New Roman" w:cs="Times New Roman"/>
                <w:sz w:val="20"/>
                <w:szCs w:val="20"/>
              </w:rPr>
            </w:pPr>
            <w:r w:rsidRPr="00984599">
              <w:rPr>
                <w:rFonts w:ascii="Times New Roman" w:hAnsi="Times New Roman" w:cs="Times New Roman"/>
                <w:sz w:val="20"/>
                <w:szCs w:val="20"/>
              </w:rPr>
              <w:t xml:space="preserve"> -   </w:t>
            </w:r>
          </w:p>
        </w:tc>
        <w:tc>
          <w:tcPr>
            <w:tcW w:w="1530" w:type="dxa"/>
            <w:hideMark/>
          </w:tcPr>
          <w:p w14:paraId="47D4B8D9" w14:textId="77777777" w:rsidR="00984599" w:rsidRPr="00B47F53" w:rsidRDefault="00984599" w:rsidP="00677641">
            <w:pPr>
              <w:pStyle w:val="NoSpacing"/>
              <w:rPr>
                <w:rFonts w:ascii="Times New Roman" w:hAnsi="Times New Roman" w:cs="Times New Roman"/>
                <w:sz w:val="20"/>
                <w:szCs w:val="20"/>
              </w:rPr>
            </w:pPr>
            <w:r w:rsidRPr="00B47F53">
              <w:rPr>
                <w:rFonts w:ascii="Times New Roman" w:hAnsi="Times New Roman" w:cs="Times New Roman"/>
                <w:sz w:val="20"/>
                <w:szCs w:val="20"/>
              </w:rPr>
              <w:t> </w:t>
            </w:r>
          </w:p>
        </w:tc>
      </w:tr>
      <w:tr w:rsidR="00984599" w:rsidRPr="00B47F53" w14:paraId="52892B75" w14:textId="77777777" w:rsidTr="007A7870">
        <w:trPr>
          <w:trHeight w:val="530"/>
        </w:trPr>
        <w:tc>
          <w:tcPr>
            <w:tcW w:w="562" w:type="dxa"/>
            <w:shd w:val="clear" w:color="auto" w:fill="92D050"/>
            <w:hideMark/>
          </w:tcPr>
          <w:p w14:paraId="6EFF66D6" w14:textId="77777777" w:rsidR="00984599" w:rsidRPr="00B47F53" w:rsidRDefault="00984599" w:rsidP="00984599">
            <w:pPr>
              <w:rPr>
                <w:rFonts w:ascii="Times New Roman" w:hAnsi="Times New Roman" w:cs="Times New Roman"/>
                <w:sz w:val="20"/>
                <w:szCs w:val="20"/>
              </w:rPr>
            </w:pPr>
            <w:r w:rsidRPr="00B47F53">
              <w:rPr>
                <w:rFonts w:ascii="Times New Roman" w:hAnsi="Times New Roman" w:cs="Times New Roman"/>
                <w:sz w:val="20"/>
                <w:szCs w:val="20"/>
              </w:rPr>
              <w:t>6</w:t>
            </w:r>
          </w:p>
        </w:tc>
        <w:tc>
          <w:tcPr>
            <w:tcW w:w="4848" w:type="dxa"/>
            <w:shd w:val="clear" w:color="auto" w:fill="92D050"/>
            <w:hideMark/>
          </w:tcPr>
          <w:p w14:paraId="57191A06" w14:textId="77777777" w:rsidR="00984599" w:rsidRPr="00B47F53" w:rsidRDefault="00984599" w:rsidP="00984599">
            <w:pPr>
              <w:rPr>
                <w:rFonts w:ascii="Times New Roman" w:hAnsi="Times New Roman" w:cs="Times New Roman"/>
                <w:b/>
                <w:bCs/>
                <w:sz w:val="20"/>
                <w:szCs w:val="20"/>
              </w:rPr>
            </w:pPr>
            <w:r w:rsidRPr="00B47F53">
              <w:rPr>
                <w:rFonts w:ascii="Times New Roman" w:hAnsi="Times New Roman" w:cs="Times New Roman"/>
                <w:b/>
                <w:bCs/>
                <w:sz w:val="20"/>
                <w:szCs w:val="20"/>
              </w:rPr>
              <w:t>Common Equity Tier I capital before regulatory adjustments</w:t>
            </w:r>
          </w:p>
        </w:tc>
        <w:tc>
          <w:tcPr>
            <w:tcW w:w="2235" w:type="dxa"/>
            <w:shd w:val="clear" w:color="auto" w:fill="92D050"/>
            <w:hideMark/>
          </w:tcPr>
          <w:p w14:paraId="790842CD" w14:textId="62102156" w:rsidR="00984599" w:rsidRPr="00984599" w:rsidRDefault="00854E4B" w:rsidP="00984599">
            <w:pPr>
              <w:pStyle w:val="NoSpacing"/>
              <w:jc w:val="right"/>
              <w:rPr>
                <w:rFonts w:ascii="Times New Roman" w:hAnsi="Times New Roman" w:cs="Times New Roman"/>
                <w:b/>
                <w:bCs/>
                <w:sz w:val="20"/>
                <w:szCs w:val="20"/>
              </w:rPr>
            </w:pPr>
            <w:r w:rsidRPr="00854E4B">
              <w:rPr>
                <w:rFonts w:ascii="Times New Roman" w:hAnsi="Times New Roman" w:cs="Times New Roman"/>
                <w:sz w:val="20"/>
                <w:szCs w:val="20"/>
              </w:rPr>
              <w:t>407,757</w:t>
            </w:r>
          </w:p>
        </w:tc>
        <w:tc>
          <w:tcPr>
            <w:tcW w:w="1530" w:type="dxa"/>
            <w:shd w:val="clear" w:color="auto" w:fill="92D050"/>
            <w:hideMark/>
          </w:tcPr>
          <w:p w14:paraId="4CF79E85" w14:textId="77777777" w:rsidR="00984599" w:rsidRPr="00B47F53" w:rsidRDefault="00984599" w:rsidP="00677641">
            <w:pPr>
              <w:pStyle w:val="NoSpacing"/>
              <w:rPr>
                <w:rFonts w:ascii="Times New Roman" w:hAnsi="Times New Roman" w:cs="Times New Roman"/>
                <w:sz w:val="20"/>
                <w:szCs w:val="20"/>
              </w:rPr>
            </w:pPr>
            <w:r w:rsidRPr="00B47F53">
              <w:rPr>
                <w:rFonts w:ascii="Times New Roman" w:hAnsi="Times New Roman" w:cs="Times New Roman"/>
                <w:sz w:val="20"/>
                <w:szCs w:val="20"/>
              </w:rPr>
              <w:t> </w:t>
            </w:r>
          </w:p>
        </w:tc>
      </w:tr>
      <w:tr w:rsidR="00984599" w:rsidRPr="00B47F53" w14:paraId="4B56114B" w14:textId="77777777" w:rsidTr="007A7870">
        <w:trPr>
          <w:trHeight w:val="458"/>
        </w:trPr>
        <w:tc>
          <w:tcPr>
            <w:tcW w:w="562" w:type="dxa"/>
            <w:hideMark/>
          </w:tcPr>
          <w:p w14:paraId="73550ADB" w14:textId="77777777" w:rsidR="00984599" w:rsidRPr="00B47F53" w:rsidRDefault="00984599" w:rsidP="00984599">
            <w:pPr>
              <w:rPr>
                <w:rFonts w:ascii="Times New Roman" w:hAnsi="Times New Roman" w:cs="Times New Roman"/>
                <w:sz w:val="20"/>
                <w:szCs w:val="20"/>
              </w:rPr>
            </w:pPr>
            <w:r w:rsidRPr="00B47F53">
              <w:rPr>
                <w:rFonts w:ascii="Times New Roman" w:hAnsi="Times New Roman" w:cs="Times New Roman"/>
                <w:sz w:val="20"/>
                <w:szCs w:val="20"/>
              </w:rPr>
              <w:t>7</w:t>
            </w:r>
          </w:p>
        </w:tc>
        <w:tc>
          <w:tcPr>
            <w:tcW w:w="4848" w:type="dxa"/>
            <w:hideMark/>
          </w:tcPr>
          <w:p w14:paraId="208E6E38" w14:textId="77777777" w:rsidR="00984599" w:rsidRPr="00B47F53" w:rsidRDefault="00984599" w:rsidP="00984599">
            <w:pPr>
              <w:rPr>
                <w:rFonts w:ascii="Times New Roman" w:hAnsi="Times New Roman" w:cs="Times New Roman"/>
                <w:sz w:val="20"/>
                <w:szCs w:val="20"/>
              </w:rPr>
            </w:pPr>
            <w:r w:rsidRPr="00B47F53">
              <w:rPr>
                <w:rFonts w:ascii="Times New Roman" w:hAnsi="Times New Roman" w:cs="Times New Roman"/>
                <w:sz w:val="20"/>
                <w:szCs w:val="20"/>
              </w:rPr>
              <w:t>Prudential valuation adjustments</w:t>
            </w:r>
          </w:p>
        </w:tc>
        <w:tc>
          <w:tcPr>
            <w:tcW w:w="2235" w:type="dxa"/>
            <w:hideMark/>
          </w:tcPr>
          <w:p w14:paraId="13271B29" w14:textId="0117A499" w:rsidR="00984599" w:rsidRPr="00984599" w:rsidRDefault="001354FC" w:rsidP="00984599">
            <w:pPr>
              <w:pStyle w:val="NoSpacing"/>
              <w:jc w:val="right"/>
              <w:rPr>
                <w:rFonts w:ascii="Times New Roman" w:hAnsi="Times New Roman" w:cs="Times New Roman"/>
                <w:sz w:val="20"/>
                <w:szCs w:val="20"/>
              </w:rPr>
            </w:pPr>
            <w:r>
              <w:rPr>
                <w:rFonts w:ascii="Times New Roman" w:hAnsi="Times New Roman" w:cs="Times New Roman"/>
                <w:sz w:val="20"/>
                <w:szCs w:val="20"/>
              </w:rPr>
              <w:t>-</w:t>
            </w:r>
          </w:p>
        </w:tc>
        <w:tc>
          <w:tcPr>
            <w:tcW w:w="1530" w:type="dxa"/>
            <w:hideMark/>
          </w:tcPr>
          <w:p w14:paraId="5E49ABF0" w14:textId="77777777" w:rsidR="00984599" w:rsidRPr="00B47F53" w:rsidRDefault="00984599" w:rsidP="00677641">
            <w:pPr>
              <w:pStyle w:val="NoSpacing"/>
              <w:rPr>
                <w:rFonts w:ascii="Times New Roman" w:hAnsi="Times New Roman" w:cs="Times New Roman"/>
                <w:sz w:val="20"/>
                <w:szCs w:val="20"/>
              </w:rPr>
            </w:pPr>
            <w:r w:rsidRPr="00B47F53">
              <w:rPr>
                <w:rFonts w:ascii="Times New Roman" w:hAnsi="Times New Roman" w:cs="Times New Roman"/>
                <w:sz w:val="20"/>
                <w:szCs w:val="20"/>
              </w:rPr>
              <w:t> </w:t>
            </w:r>
          </w:p>
        </w:tc>
      </w:tr>
      <w:tr w:rsidR="00984599" w:rsidRPr="00B47F53" w14:paraId="354E59F2" w14:textId="77777777" w:rsidTr="007A7870">
        <w:trPr>
          <w:trHeight w:val="530"/>
        </w:trPr>
        <w:tc>
          <w:tcPr>
            <w:tcW w:w="562" w:type="dxa"/>
            <w:hideMark/>
          </w:tcPr>
          <w:p w14:paraId="3FE254CB" w14:textId="77777777" w:rsidR="00984599" w:rsidRPr="00B47F53" w:rsidRDefault="00984599" w:rsidP="00984599">
            <w:pPr>
              <w:rPr>
                <w:rFonts w:ascii="Times New Roman" w:hAnsi="Times New Roman" w:cs="Times New Roman"/>
                <w:sz w:val="20"/>
                <w:szCs w:val="20"/>
              </w:rPr>
            </w:pPr>
            <w:r w:rsidRPr="00B47F53">
              <w:rPr>
                <w:rFonts w:ascii="Times New Roman" w:hAnsi="Times New Roman" w:cs="Times New Roman"/>
                <w:sz w:val="20"/>
                <w:szCs w:val="20"/>
              </w:rPr>
              <w:t>8</w:t>
            </w:r>
          </w:p>
        </w:tc>
        <w:tc>
          <w:tcPr>
            <w:tcW w:w="4848" w:type="dxa"/>
            <w:hideMark/>
          </w:tcPr>
          <w:p w14:paraId="68DBD4D2" w14:textId="77777777" w:rsidR="00984599" w:rsidRPr="00B47F53" w:rsidRDefault="00984599" w:rsidP="00984599">
            <w:pPr>
              <w:rPr>
                <w:rFonts w:ascii="Times New Roman" w:hAnsi="Times New Roman" w:cs="Times New Roman"/>
                <w:sz w:val="20"/>
                <w:szCs w:val="20"/>
              </w:rPr>
            </w:pPr>
            <w:r w:rsidRPr="00B47F53">
              <w:rPr>
                <w:rFonts w:ascii="Times New Roman" w:hAnsi="Times New Roman" w:cs="Times New Roman"/>
                <w:sz w:val="20"/>
                <w:szCs w:val="20"/>
              </w:rPr>
              <w:t>Goodwill (net of related tax liability)</w:t>
            </w:r>
          </w:p>
        </w:tc>
        <w:tc>
          <w:tcPr>
            <w:tcW w:w="2235" w:type="dxa"/>
            <w:hideMark/>
          </w:tcPr>
          <w:p w14:paraId="54807DC4" w14:textId="3321B8C0" w:rsidR="00984599" w:rsidRPr="00984599" w:rsidRDefault="00854E4B" w:rsidP="00984599">
            <w:pPr>
              <w:pStyle w:val="NoSpacing"/>
              <w:jc w:val="right"/>
              <w:rPr>
                <w:rFonts w:ascii="Times New Roman" w:hAnsi="Times New Roman" w:cs="Times New Roman"/>
                <w:sz w:val="20"/>
                <w:szCs w:val="20"/>
              </w:rPr>
            </w:pPr>
            <w:r w:rsidRPr="00854E4B">
              <w:rPr>
                <w:rFonts w:ascii="Times New Roman" w:hAnsi="Times New Roman" w:cs="Times New Roman"/>
                <w:sz w:val="20"/>
                <w:szCs w:val="20"/>
              </w:rPr>
              <w:t>4,845</w:t>
            </w:r>
          </w:p>
        </w:tc>
        <w:tc>
          <w:tcPr>
            <w:tcW w:w="1530" w:type="dxa"/>
            <w:hideMark/>
          </w:tcPr>
          <w:p w14:paraId="60659D3F" w14:textId="77777777" w:rsidR="00984599" w:rsidRPr="00B47F53" w:rsidRDefault="00984599" w:rsidP="00677641">
            <w:pPr>
              <w:pStyle w:val="NoSpacing"/>
              <w:rPr>
                <w:rFonts w:ascii="Times New Roman" w:hAnsi="Times New Roman" w:cs="Times New Roman"/>
                <w:sz w:val="20"/>
                <w:szCs w:val="20"/>
              </w:rPr>
            </w:pPr>
            <w:r w:rsidRPr="00B47F53">
              <w:rPr>
                <w:rFonts w:ascii="Times New Roman" w:hAnsi="Times New Roman" w:cs="Times New Roman"/>
                <w:sz w:val="20"/>
                <w:szCs w:val="20"/>
              </w:rPr>
              <w:t>a-d</w:t>
            </w:r>
          </w:p>
        </w:tc>
      </w:tr>
    </w:tbl>
    <w:p w14:paraId="23DCA23B" w14:textId="673762C8" w:rsidR="00BB0964" w:rsidRPr="00B47F53" w:rsidRDefault="00487239" w:rsidP="00F8167B">
      <w:pPr>
        <w:pStyle w:val="Heading2"/>
        <w:rPr>
          <w:rStyle w:val="A5"/>
          <w:rFonts w:ascii="Times New Roman" w:hAnsi="Times New Roman" w:cs="Times New Roman"/>
          <w:color w:val="4F81BD" w:themeColor="accent1"/>
          <w:sz w:val="20"/>
          <w:szCs w:val="20"/>
        </w:rPr>
      </w:pPr>
      <w:bookmarkStart w:id="16" w:name="_Toc519240738"/>
      <w:bookmarkStart w:id="17" w:name="_Toc519241600"/>
      <w:bookmarkStart w:id="18" w:name="_Toc100839096"/>
      <w:r w:rsidRPr="00B47F53">
        <w:rPr>
          <w:rStyle w:val="A5"/>
          <w:rFonts w:ascii="Times New Roman" w:hAnsi="Times New Roman" w:cs="Times New Roman"/>
          <w:color w:val="auto"/>
          <w:sz w:val="20"/>
          <w:szCs w:val="20"/>
        </w:rPr>
        <w:lastRenderedPageBreak/>
        <w:t xml:space="preserve">Table 28: </w:t>
      </w:r>
      <w:r w:rsidR="006B59F7" w:rsidRPr="00B47F53">
        <w:rPr>
          <w:rStyle w:val="A5"/>
          <w:rFonts w:ascii="Times New Roman" w:hAnsi="Times New Roman" w:cs="Times New Roman"/>
          <w:color w:val="auto"/>
          <w:sz w:val="20"/>
          <w:szCs w:val="20"/>
        </w:rPr>
        <w:t>Main features of regulatory capital instruments</w:t>
      </w:r>
      <w:bookmarkEnd w:id="14"/>
      <w:bookmarkEnd w:id="16"/>
      <w:bookmarkEnd w:id="17"/>
      <w:bookmarkEnd w:id="18"/>
      <w:r w:rsidR="006B59F7" w:rsidRPr="00B47F53">
        <w:rPr>
          <w:rStyle w:val="A5"/>
          <w:rFonts w:ascii="Times New Roman" w:hAnsi="Times New Roman" w:cs="Times New Roman"/>
          <w:color w:val="auto"/>
          <w:sz w:val="20"/>
          <w:szCs w:val="20"/>
        </w:rPr>
        <w:t xml:space="preserve"> </w:t>
      </w:r>
      <w:bookmarkEnd w:id="15"/>
    </w:p>
    <w:p w14:paraId="62488248" w14:textId="77777777" w:rsidR="00062153" w:rsidRPr="00B47F53" w:rsidRDefault="00062153" w:rsidP="00F8167B">
      <w:pPr>
        <w:rPr>
          <w:rFonts w:ascii="Times New Roman" w:hAnsi="Times New Roman" w:cs="Times New Roman"/>
          <w:sz w:val="20"/>
          <w:szCs w:val="20"/>
        </w:rPr>
      </w:pPr>
    </w:p>
    <w:p w14:paraId="12BADDA0" w14:textId="77777777" w:rsidR="005C1914" w:rsidRPr="00B47F53" w:rsidRDefault="006B59F7" w:rsidP="00F8167B">
      <w:pPr>
        <w:jc w:val="both"/>
        <w:rPr>
          <w:rStyle w:val="A5"/>
          <w:rFonts w:ascii="Times New Roman" w:hAnsi="Times New Roman" w:cs="Times New Roman"/>
          <w:sz w:val="20"/>
          <w:szCs w:val="20"/>
        </w:rPr>
      </w:pPr>
      <w:r w:rsidRPr="00B47F53">
        <w:rPr>
          <w:rStyle w:val="A5"/>
          <w:rFonts w:ascii="Times New Roman" w:hAnsi="Times New Roman" w:cs="Times New Roman"/>
          <w:sz w:val="20"/>
          <w:szCs w:val="20"/>
        </w:rPr>
        <w:t xml:space="preserve">The bank has issued subordinated debt instruments </w:t>
      </w:r>
      <w:r w:rsidR="00607C81" w:rsidRPr="00B47F53">
        <w:rPr>
          <w:rStyle w:val="A5"/>
          <w:rFonts w:ascii="Times New Roman" w:hAnsi="Times New Roman" w:cs="Times New Roman"/>
          <w:sz w:val="20"/>
          <w:szCs w:val="20"/>
        </w:rPr>
        <w:t>as outlined in the table below.</w:t>
      </w:r>
    </w:p>
    <w:tbl>
      <w:tblPr>
        <w:tblW w:w="9167" w:type="dxa"/>
        <w:tblInd w:w="93" w:type="dxa"/>
        <w:tblLook w:val="04A0" w:firstRow="1" w:lastRow="0" w:firstColumn="1" w:lastColumn="0" w:noHBand="0" w:noVBand="1"/>
      </w:tblPr>
      <w:tblGrid>
        <w:gridCol w:w="625"/>
        <w:gridCol w:w="5330"/>
        <w:gridCol w:w="3212"/>
      </w:tblGrid>
      <w:tr w:rsidR="00494D82" w:rsidRPr="00B47F53" w14:paraId="27B84F6B" w14:textId="77777777" w:rsidTr="007A7870">
        <w:trPr>
          <w:trHeight w:val="255"/>
        </w:trPr>
        <w:tc>
          <w:tcPr>
            <w:tcW w:w="625"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25D4F1F5" w14:textId="77777777" w:rsidR="00494D82" w:rsidRPr="00B47F53" w:rsidRDefault="00494D82" w:rsidP="00F8167B">
            <w:pPr>
              <w:spacing w:after="0"/>
              <w:jc w:val="right"/>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1</w:t>
            </w:r>
          </w:p>
        </w:tc>
        <w:tc>
          <w:tcPr>
            <w:tcW w:w="5330" w:type="dxa"/>
            <w:tcBorders>
              <w:top w:val="single" w:sz="8" w:space="0" w:color="auto"/>
              <w:left w:val="nil"/>
              <w:bottom w:val="single" w:sz="8" w:space="0" w:color="000000"/>
              <w:right w:val="single" w:sz="8" w:space="0" w:color="000000"/>
            </w:tcBorders>
            <w:shd w:val="clear" w:color="auto" w:fill="auto"/>
            <w:vAlign w:val="center"/>
            <w:hideMark/>
          </w:tcPr>
          <w:p w14:paraId="75530BA2"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Issuer</w:t>
            </w:r>
          </w:p>
        </w:tc>
        <w:tc>
          <w:tcPr>
            <w:tcW w:w="3212" w:type="dxa"/>
            <w:tcBorders>
              <w:top w:val="single" w:sz="8" w:space="0" w:color="auto"/>
              <w:left w:val="nil"/>
              <w:bottom w:val="single" w:sz="8" w:space="0" w:color="000000"/>
              <w:right w:val="single" w:sz="8" w:space="0" w:color="auto"/>
            </w:tcBorders>
            <w:shd w:val="clear" w:color="000000" w:fill="D9D9D9"/>
            <w:vAlign w:val="center"/>
            <w:hideMark/>
          </w:tcPr>
          <w:p w14:paraId="0DF23892"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 </w:t>
            </w:r>
          </w:p>
          <w:p w14:paraId="2070F01D" w14:textId="77777777" w:rsidR="00494D82" w:rsidRPr="00B47F53" w:rsidRDefault="00D67867" w:rsidP="00D67867">
            <w:pPr>
              <w:rPr>
                <w:rFonts w:ascii="Times New Roman" w:hAnsi="Times New Roman" w:cs="Times New Roman"/>
                <w:color w:val="000000"/>
                <w:sz w:val="20"/>
                <w:szCs w:val="20"/>
              </w:rPr>
            </w:pPr>
            <w:r w:rsidRPr="00B47F53">
              <w:rPr>
                <w:rFonts w:ascii="Times New Roman" w:hAnsi="Times New Roman" w:cs="Times New Roman"/>
                <w:color w:val="000000"/>
                <w:sz w:val="20"/>
                <w:szCs w:val="20"/>
              </w:rPr>
              <w:t xml:space="preserve">First </w:t>
            </w:r>
            <w:r w:rsidR="00AD1967" w:rsidRPr="00B47F53">
              <w:rPr>
                <w:rFonts w:ascii="Times New Roman" w:hAnsi="Times New Roman" w:cs="Times New Roman"/>
                <w:color w:val="000000"/>
                <w:sz w:val="20"/>
                <w:szCs w:val="20"/>
              </w:rPr>
              <w:t>Capital Bank</w:t>
            </w:r>
            <w:r w:rsidR="00B92386" w:rsidRPr="00B47F53">
              <w:rPr>
                <w:rFonts w:ascii="Times New Roman" w:hAnsi="Times New Roman" w:cs="Times New Roman"/>
                <w:color w:val="000000"/>
                <w:sz w:val="20"/>
                <w:szCs w:val="20"/>
              </w:rPr>
              <w:t xml:space="preserve"> Limited</w:t>
            </w:r>
          </w:p>
        </w:tc>
      </w:tr>
      <w:tr w:rsidR="00494D82" w:rsidRPr="00B47F53" w14:paraId="2C7C66CB" w14:textId="77777777" w:rsidTr="007A7870">
        <w:trPr>
          <w:trHeight w:val="580"/>
        </w:trPr>
        <w:tc>
          <w:tcPr>
            <w:tcW w:w="625" w:type="dxa"/>
            <w:tcBorders>
              <w:top w:val="nil"/>
              <w:left w:val="single" w:sz="8" w:space="0" w:color="auto"/>
              <w:bottom w:val="single" w:sz="8" w:space="0" w:color="000000"/>
              <w:right w:val="single" w:sz="8" w:space="0" w:color="000000"/>
            </w:tcBorders>
            <w:shd w:val="clear" w:color="auto" w:fill="auto"/>
            <w:vAlign w:val="center"/>
            <w:hideMark/>
          </w:tcPr>
          <w:p w14:paraId="64CB8F44" w14:textId="77777777" w:rsidR="00494D82" w:rsidRPr="00B47F53" w:rsidRDefault="00494D82" w:rsidP="00F8167B">
            <w:pPr>
              <w:spacing w:after="0"/>
              <w:jc w:val="right"/>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2</w:t>
            </w:r>
          </w:p>
        </w:tc>
        <w:tc>
          <w:tcPr>
            <w:tcW w:w="5330" w:type="dxa"/>
            <w:tcBorders>
              <w:top w:val="nil"/>
              <w:left w:val="nil"/>
              <w:bottom w:val="single" w:sz="8" w:space="0" w:color="000000"/>
              <w:right w:val="single" w:sz="8" w:space="0" w:color="000000"/>
            </w:tcBorders>
            <w:shd w:val="clear" w:color="auto" w:fill="auto"/>
            <w:vAlign w:val="center"/>
            <w:hideMark/>
          </w:tcPr>
          <w:p w14:paraId="704403E9" w14:textId="41C5E6EC" w:rsidR="00494D82" w:rsidRPr="00B47F53" w:rsidRDefault="00494D82" w:rsidP="00F8167B">
            <w:pPr>
              <w:spacing w:after="0"/>
              <w:jc w:val="both"/>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Unique identifier (</w:t>
            </w:r>
            <w:r w:rsidR="00186289" w:rsidRPr="00B47F53">
              <w:rPr>
                <w:rFonts w:ascii="Times New Roman" w:eastAsia="Times New Roman" w:hAnsi="Times New Roman" w:cs="Times New Roman"/>
                <w:color w:val="000000"/>
                <w:sz w:val="20"/>
                <w:szCs w:val="20"/>
                <w:lang w:eastAsia="en-ZA"/>
              </w:rPr>
              <w:t>e.g.</w:t>
            </w:r>
            <w:r w:rsidRPr="00B47F53">
              <w:rPr>
                <w:rFonts w:ascii="Times New Roman" w:eastAsia="Times New Roman" w:hAnsi="Times New Roman" w:cs="Times New Roman"/>
                <w:color w:val="000000"/>
                <w:sz w:val="20"/>
                <w:szCs w:val="20"/>
                <w:lang w:eastAsia="en-ZA"/>
              </w:rPr>
              <w:t xml:space="preserve"> CUSIP ISIN or Bloomberg identifier for private placement)</w:t>
            </w:r>
          </w:p>
        </w:tc>
        <w:tc>
          <w:tcPr>
            <w:tcW w:w="3212" w:type="dxa"/>
            <w:tcBorders>
              <w:top w:val="nil"/>
              <w:left w:val="nil"/>
              <w:bottom w:val="single" w:sz="8" w:space="0" w:color="000000"/>
              <w:right w:val="single" w:sz="8" w:space="0" w:color="auto"/>
            </w:tcBorders>
            <w:shd w:val="clear" w:color="000000" w:fill="D9D9D9"/>
            <w:vAlign w:val="center"/>
            <w:hideMark/>
          </w:tcPr>
          <w:p w14:paraId="7C56E42C" w14:textId="2731AFE9" w:rsidR="00494D82" w:rsidRPr="00B47F53" w:rsidRDefault="007A55B1"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Not Appl</w:t>
            </w:r>
            <w:r w:rsidR="00025885" w:rsidRPr="00B47F53">
              <w:rPr>
                <w:rFonts w:ascii="Times New Roman" w:eastAsia="Times New Roman" w:hAnsi="Times New Roman" w:cs="Times New Roman"/>
                <w:color w:val="000000"/>
                <w:sz w:val="20"/>
                <w:szCs w:val="20"/>
                <w:lang w:eastAsia="en-ZA"/>
              </w:rPr>
              <w:t>i</w:t>
            </w:r>
            <w:r w:rsidRPr="00B47F53">
              <w:rPr>
                <w:rFonts w:ascii="Times New Roman" w:eastAsia="Times New Roman" w:hAnsi="Times New Roman" w:cs="Times New Roman"/>
                <w:color w:val="000000"/>
                <w:sz w:val="20"/>
                <w:szCs w:val="20"/>
                <w:lang w:eastAsia="en-ZA"/>
              </w:rPr>
              <w:t>cable</w:t>
            </w:r>
          </w:p>
        </w:tc>
      </w:tr>
      <w:tr w:rsidR="00494D82" w:rsidRPr="00B47F53" w14:paraId="4E7D638C" w14:textId="77777777" w:rsidTr="007A7870">
        <w:trPr>
          <w:trHeight w:val="314"/>
        </w:trPr>
        <w:tc>
          <w:tcPr>
            <w:tcW w:w="625" w:type="dxa"/>
            <w:tcBorders>
              <w:top w:val="nil"/>
              <w:left w:val="single" w:sz="8" w:space="0" w:color="auto"/>
              <w:bottom w:val="single" w:sz="8" w:space="0" w:color="000000"/>
              <w:right w:val="single" w:sz="8" w:space="0" w:color="000000"/>
            </w:tcBorders>
            <w:shd w:val="clear" w:color="auto" w:fill="auto"/>
            <w:vAlign w:val="center"/>
            <w:hideMark/>
          </w:tcPr>
          <w:p w14:paraId="3B80487F" w14:textId="77777777" w:rsidR="00494D82" w:rsidRPr="00B47F53" w:rsidRDefault="00494D82" w:rsidP="00F8167B">
            <w:pPr>
              <w:spacing w:after="0"/>
              <w:jc w:val="right"/>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3</w:t>
            </w:r>
          </w:p>
        </w:tc>
        <w:tc>
          <w:tcPr>
            <w:tcW w:w="5330" w:type="dxa"/>
            <w:tcBorders>
              <w:top w:val="nil"/>
              <w:left w:val="nil"/>
              <w:bottom w:val="single" w:sz="8" w:space="0" w:color="000000"/>
              <w:right w:val="single" w:sz="8" w:space="0" w:color="000000"/>
            </w:tcBorders>
            <w:shd w:val="clear" w:color="auto" w:fill="auto"/>
            <w:vAlign w:val="center"/>
            <w:hideMark/>
          </w:tcPr>
          <w:p w14:paraId="436A064E" w14:textId="77777777" w:rsidR="00494D82" w:rsidRPr="00B47F53" w:rsidRDefault="00494D82" w:rsidP="00F8167B">
            <w:pPr>
              <w:spacing w:after="0"/>
              <w:jc w:val="both"/>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Governing law(s) of the instrument</w:t>
            </w:r>
          </w:p>
        </w:tc>
        <w:tc>
          <w:tcPr>
            <w:tcW w:w="3212" w:type="dxa"/>
            <w:tcBorders>
              <w:top w:val="nil"/>
              <w:left w:val="nil"/>
              <w:bottom w:val="single" w:sz="8" w:space="0" w:color="000000"/>
              <w:right w:val="single" w:sz="8" w:space="0" w:color="auto"/>
            </w:tcBorders>
            <w:shd w:val="clear" w:color="auto" w:fill="D9D9D9" w:themeFill="background1" w:themeFillShade="D9"/>
            <w:vAlign w:val="center"/>
            <w:hideMark/>
          </w:tcPr>
          <w:p w14:paraId="5580B3D4"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 </w:t>
            </w:r>
          </w:p>
          <w:p w14:paraId="457FAF85" w14:textId="77777777" w:rsidR="00494D82" w:rsidRPr="00B47F53" w:rsidRDefault="00494D82" w:rsidP="00F8167B">
            <w:pPr>
              <w:rPr>
                <w:rFonts w:ascii="Times New Roman" w:eastAsia="Times New Roman" w:hAnsi="Times New Roman" w:cs="Times New Roman"/>
                <w:color w:val="000000"/>
                <w:sz w:val="20"/>
                <w:szCs w:val="20"/>
                <w:lang w:eastAsia="en-ZA"/>
              </w:rPr>
            </w:pPr>
            <w:r w:rsidRPr="00B47F53">
              <w:rPr>
                <w:rFonts w:ascii="Times New Roman" w:hAnsi="Times New Roman" w:cs="Times New Roman"/>
                <w:color w:val="000000"/>
                <w:sz w:val="20"/>
                <w:szCs w:val="20"/>
              </w:rPr>
              <w:t>Botswana Law</w:t>
            </w:r>
          </w:p>
        </w:tc>
      </w:tr>
      <w:tr w:rsidR="00494D82" w:rsidRPr="00B47F53" w14:paraId="6047FE8E" w14:textId="77777777" w:rsidTr="008D7839">
        <w:trPr>
          <w:trHeight w:val="547"/>
        </w:trPr>
        <w:tc>
          <w:tcPr>
            <w:tcW w:w="625" w:type="dxa"/>
            <w:tcBorders>
              <w:top w:val="nil"/>
              <w:left w:val="single" w:sz="8" w:space="0" w:color="auto"/>
              <w:bottom w:val="single" w:sz="8" w:space="0" w:color="000000"/>
              <w:right w:val="single" w:sz="8" w:space="0" w:color="000000"/>
            </w:tcBorders>
            <w:shd w:val="clear" w:color="auto" w:fill="auto"/>
            <w:vAlign w:val="center"/>
            <w:hideMark/>
          </w:tcPr>
          <w:p w14:paraId="3B60D0B8"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 </w:t>
            </w:r>
          </w:p>
        </w:tc>
        <w:tc>
          <w:tcPr>
            <w:tcW w:w="5330" w:type="dxa"/>
            <w:tcBorders>
              <w:top w:val="nil"/>
              <w:left w:val="nil"/>
              <w:bottom w:val="single" w:sz="8" w:space="0" w:color="000000"/>
              <w:right w:val="single" w:sz="8" w:space="0" w:color="000000"/>
            </w:tcBorders>
            <w:shd w:val="clear" w:color="auto" w:fill="auto"/>
            <w:vAlign w:val="center"/>
            <w:hideMark/>
          </w:tcPr>
          <w:p w14:paraId="0C33FB0A" w14:textId="77777777" w:rsidR="00494D82" w:rsidRPr="00B47F53" w:rsidRDefault="00494D82" w:rsidP="00F8167B">
            <w:pPr>
              <w:spacing w:after="0"/>
              <w:jc w:val="both"/>
              <w:rPr>
                <w:rFonts w:ascii="Times New Roman" w:eastAsia="Times New Roman" w:hAnsi="Times New Roman" w:cs="Times New Roman"/>
                <w:i/>
                <w:iCs/>
                <w:color w:val="000000"/>
                <w:sz w:val="20"/>
                <w:szCs w:val="20"/>
                <w:lang w:eastAsia="en-ZA"/>
              </w:rPr>
            </w:pPr>
            <w:r w:rsidRPr="00B47F53">
              <w:rPr>
                <w:rFonts w:ascii="Times New Roman" w:eastAsia="Times New Roman" w:hAnsi="Times New Roman" w:cs="Times New Roman"/>
                <w:i/>
                <w:iCs/>
                <w:color w:val="000000"/>
                <w:sz w:val="20"/>
                <w:szCs w:val="20"/>
                <w:lang w:eastAsia="en-ZA"/>
              </w:rPr>
              <w:t>Regulatory treatment</w:t>
            </w:r>
          </w:p>
        </w:tc>
        <w:tc>
          <w:tcPr>
            <w:tcW w:w="3212" w:type="dxa"/>
            <w:tcBorders>
              <w:top w:val="nil"/>
              <w:left w:val="nil"/>
              <w:bottom w:val="single" w:sz="8" w:space="0" w:color="000000"/>
              <w:right w:val="single" w:sz="8" w:space="0" w:color="auto"/>
            </w:tcBorders>
            <w:shd w:val="clear" w:color="auto" w:fill="D9D9D9" w:themeFill="background1" w:themeFillShade="D9"/>
            <w:vAlign w:val="center"/>
            <w:hideMark/>
          </w:tcPr>
          <w:p w14:paraId="41325A17"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 </w:t>
            </w:r>
          </w:p>
          <w:p w14:paraId="43B70BAF" w14:textId="77777777" w:rsidR="00494D82" w:rsidRPr="00B47F53" w:rsidRDefault="00494D82" w:rsidP="00F8167B">
            <w:pPr>
              <w:rPr>
                <w:rFonts w:ascii="Times New Roman" w:eastAsia="Times New Roman" w:hAnsi="Times New Roman" w:cs="Times New Roman"/>
                <w:color w:val="000000"/>
                <w:sz w:val="20"/>
                <w:szCs w:val="20"/>
                <w:lang w:eastAsia="en-ZA"/>
              </w:rPr>
            </w:pPr>
            <w:r w:rsidRPr="00B47F53">
              <w:rPr>
                <w:rFonts w:ascii="Times New Roman" w:hAnsi="Times New Roman" w:cs="Times New Roman"/>
                <w:color w:val="000000"/>
                <w:sz w:val="20"/>
                <w:szCs w:val="20"/>
              </w:rPr>
              <w:t>Subordinated debt</w:t>
            </w:r>
          </w:p>
        </w:tc>
      </w:tr>
      <w:tr w:rsidR="00494D82" w:rsidRPr="00B47F53" w14:paraId="69CB96EE" w14:textId="77777777" w:rsidTr="007A7870">
        <w:trPr>
          <w:trHeight w:val="497"/>
        </w:trPr>
        <w:tc>
          <w:tcPr>
            <w:tcW w:w="625" w:type="dxa"/>
            <w:tcBorders>
              <w:top w:val="nil"/>
              <w:left w:val="single" w:sz="8" w:space="0" w:color="auto"/>
              <w:bottom w:val="single" w:sz="8" w:space="0" w:color="000000"/>
              <w:right w:val="single" w:sz="8" w:space="0" w:color="000000"/>
            </w:tcBorders>
            <w:shd w:val="clear" w:color="auto" w:fill="auto"/>
            <w:vAlign w:val="center"/>
            <w:hideMark/>
          </w:tcPr>
          <w:p w14:paraId="44FD8073" w14:textId="77777777" w:rsidR="00494D82" w:rsidRPr="00B47F53" w:rsidRDefault="00494D82" w:rsidP="00F8167B">
            <w:pPr>
              <w:spacing w:after="0"/>
              <w:jc w:val="right"/>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4</w:t>
            </w:r>
          </w:p>
        </w:tc>
        <w:tc>
          <w:tcPr>
            <w:tcW w:w="5330" w:type="dxa"/>
            <w:tcBorders>
              <w:top w:val="nil"/>
              <w:left w:val="nil"/>
              <w:bottom w:val="single" w:sz="8" w:space="0" w:color="000000"/>
              <w:right w:val="single" w:sz="8" w:space="0" w:color="000000"/>
            </w:tcBorders>
            <w:shd w:val="clear" w:color="auto" w:fill="auto"/>
            <w:vAlign w:val="center"/>
            <w:hideMark/>
          </w:tcPr>
          <w:p w14:paraId="4C35A713" w14:textId="77777777" w:rsidR="00494D82" w:rsidRPr="00B47F53" w:rsidRDefault="00494D82" w:rsidP="00F8167B">
            <w:pPr>
              <w:spacing w:after="0"/>
              <w:jc w:val="both"/>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Transitional Basel III rules</w:t>
            </w:r>
          </w:p>
        </w:tc>
        <w:tc>
          <w:tcPr>
            <w:tcW w:w="3212" w:type="dxa"/>
            <w:tcBorders>
              <w:top w:val="nil"/>
              <w:left w:val="nil"/>
              <w:bottom w:val="single" w:sz="8" w:space="0" w:color="000000"/>
              <w:right w:val="single" w:sz="8" w:space="0" w:color="auto"/>
            </w:tcBorders>
            <w:shd w:val="clear" w:color="000000" w:fill="D9D9D9"/>
            <w:vAlign w:val="center"/>
            <w:hideMark/>
          </w:tcPr>
          <w:p w14:paraId="415761F0"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 </w:t>
            </w:r>
          </w:p>
          <w:p w14:paraId="50550C74" w14:textId="77777777" w:rsidR="00494D82" w:rsidRPr="00B47F53" w:rsidRDefault="00494D82" w:rsidP="00F8167B">
            <w:pPr>
              <w:rPr>
                <w:rFonts w:ascii="Times New Roman" w:eastAsia="Times New Roman" w:hAnsi="Times New Roman" w:cs="Times New Roman"/>
                <w:color w:val="000000"/>
                <w:sz w:val="20"/>
                <w:szCs w:val="20"/>
                <w:lang w:eastAsia="en-ZA"/>
              </w:rPr>
            </w:pPr>
            <w:r w:rsidRPr="00B47F53">
              <w:rPr>
                <w:rFonts w:ascii="Times New Roman" w:hAnsi="Times New Roman" w:cs="Times New Roman"/>
                <w:color w:val="000000"/>
                <w:sz w:val="20"/>
                <w:szCs w:val="20"/>
              </w:rPr>
              <w:t xml:space="preserve">Not Applicable </w:t>
            </w:r>
          </w:p>
        </w:tc>
      </w:tr>
      <w:tr w:rsidR="00494D82" w:rsidRPr="00B47F53" w14:paraId="11C5989A" w14:textId="77777777" w:rsidTr="007A7870">
        <w:trPr>
          <w:trHeight w:val="615"/>
        </w:trPr>
        <w:tc>
          <w:tcPr>
            <w:tcW w:w="625" w:type="dxa"/>
            <w:tcBorders>
              <w:top w:val="nil"/>
              <w:left w:val="single" w:sz="8" w:space="0" w:color="auto"/>
              <w:bottom w:val="single" w:sz="4" w:space="0" w:color="auto"/>
              <w:right w:val="single" w:sz="8" w:space="0" w:color="000000"/>
            </w:tcBorders>
            <w:shd w:val="clear" w:color="auto" w:fill="auto"/>
            <w:vAlign w:val="center"/>
            <w:hideMark/>
          </w:tcPr>
          <w:p w14:paraId="426A0BAB" w14:textId="77777777" w:rsidR="00494D82" w:rsidRPr="00B47F53" w:rsidRDefault="00494D82" w:rsidP="00F8167B">
            <w:pPr>
              <w:spacing w:after="0"/>
              <w:jc w:val="right"/>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5</w:t>
            </w:r>
          </w:p>
        </w:tc>
        <w:tc>
          <w:tcPr>
            <w:tcW w:w="5330" w:type="dxa"/>
            <w:tcBorders>
              <w:top w:val="nil"/>
              <w:left w:val="nil"/>
              <w:bottom w:val="single" w:sz="4" w:space="0" w:color="auto"/>
              <w:right w:val="single" w:sz="8" w:space="0" w:color="000000"/>
            </w:tcBorders>
            <w:shd w:val="clear" w:color="auto" w:fill="auto"/>
            <w:vAlign w:val="center"/>
            <w:hideMark/>
          </w:tcPr>
          <w:p w14:paraId="794E657A" w14:textId="77777777" w:rsidR="00494D82" w:rsidRPr="00B47F53" w:rsidRDefault="00494D82" w:rsidP="00F8167B">
            <w:pPr>
              <w:spacing w:after="0"/>
              <w:jc w:val="both"/>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Post-transitional Basel III rules</w:t>
            </w:r>
          </w:p>
        </w:tc>
        <w:tc>
          <w:tcPr>
            <w:tcW w:w="3212" w:type="dxa"/>
            <w:tcBorders>
              <w:top w:val="nil"/>
              <w:left w:val="nil"/>
              <w:bottom w:val="single" w:sz="4" w:space="0" w:color="auto"/>
              <w:right w:val="single" w:sz="8" w:space="0" w:color="auto"/>
            </w:tcBorders>
            <w:shd w:val="clear" w:color="000000" w:fill="D9D9D9"/>
            <w:vAlign w:val="center"/>
            <w:hideMark/>
          </w:tcPr>
          <w:p w14:paraId="4F97E8AA" w14:textId="1B707642" w:rsidR="00494D82" w:rsidRPr="00B47F53" w:rsidRDefault="00494D82" w:rsidP="007A7870">
            <w:pPr>
              <w:tabs>
                <w:tab w:val="left" w:pos="106"/>
              </w:tabs>
              <w:spacing w:after="0"/>
              <w:rPr>
                <w:rFonts w:ascii="Times New Roman" w:eastAsia="Times New Roman" w:hAnsi="Times New Roman" w:cs="Times New Roman"/>
                <w:color w:val="000000"/>
                <w:sz w:val="20"/>
                <w:szCs w:val="20"/>
                <w:lang w:eastAsia="en-ZA"/>
              </w:rPr>
            </w:pPr>
            <w:r w:rsidRPr="00B47F53">
              <w:rPr>
                <w:rFonts w:ascii="Times New Roman" w:hAnsi="Times New Roman" w:cs="Times New Roman"/>
                <w:color w:val="000000"/>
                <w:sz w:val="20"/>
                <w:szCs w:val="20"/>
              </w:rPr>
              <w:t>Not Applicable</w:t>
            </w:r>
          </w:p>
        </w:tc>
      </w:tr>
      <w:tr w:rsidR="00494D82" w:rsidRPr="00B47F53" w14:paraId="3A94E978" w14:textId="77777777" w:rsidTr="007A7870">
        <w:trPr>
          <w:trHeight w:val="432"/>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C136D" w14:textId="77777777" w:rsidR="00494D82" w:rsidRPr="00B47F53" w:rsidRDefault="00494D82" w:rsidP="00F8167B">
            <w:pPr>
              <w:spacing w:after="0"/>
              <w:jc w:val="right"/>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6</w:t>
            </w:r>
          </w:p>
        </w:tc>
        <w:tc>
          <w:tcPr>
            <w:tcW w:w="5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22161" w14:textId="77777777" w:rsidR="00494D82" w:rsidRPr="00B47F53" w:rsidRDefault="00494D82" w:rsidP="00F8167B">
            <w:pPr>
              <w:spacing w:after="0"/>
              <w:jc w:val="both"/>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Eligible at solo/group/group and solo</w:t>
            </w:r>
          </w:p>
        </w:tc>
        <w:tc>
          <w:tcPr>
            <w:tcW w:w="3212" w:type="dxa"/>
            <w:tcBorders>
              <w:top w:val="single" w:sz="4" w:space="0" w:color="auto"/>
              <w:left w:val="single" w:sz="4" w:space="0" w:color="auto"/>
              <w:bottom w:val="single" w:sz="8" w:space="0" w:color="000000"/>
              <w:right w:val="single" w:sz="8" w:space="0" w:color="auto"/>
            </w:tcBorders>
            <w:shd w:val="clear" w:color="000000" w:fill="D9D9D9"/>
            <w:vAlign w:val="center"/>
            <w:hideMark/>
          </w:tcPr>
          <w:p w14:paraId="77C7457A"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 </w:t>
            </w:r>
          </w:p>
          <w:p w14:paraId="32C13ED9" w14:textId="77777777" w:rsidR="00494D82" w:rsidRPr="00B47F53" w:rsidRDefault="00494D82" w:rsidP="00F8167B">
            <w:pPr>
              <w:rPr>
                <w:rFonts w:ascii="Times New Roman" w:eastAsia="Times New Roman" w:hAnsi="Times New Roman" w:cs="Times New Roman"/>
                <w:color w:val="000000"/>
                <w:sz w:val="20"/>
                <w:szCs w:val="20"/>
                <w:lang w:eastAsia="en-ZA"/>
              </w:rPr>
            </w:pPr>
            <w:r w:rsidRPr="00B47F53">
              <w:rPr>
                <w:rFonts w:ascii="Times New Roman" w:hAnsi="Times New Roman" w:cs="Times New Roman"/>
                <w:color w:val="000000"/>
                <w:sz w:val="20"/>
                <w:szCs w:val="20"/>
              </w:rPr>
              <w:t>Solo</w:t>
            </w:r>
          </w:p>
        </w:tc>
      </w:tr>
      <w:tr w:rsidR="00494D82" w:rsidRPr="00B47F53" w14:paraId="0F9CEA9C" w14:textId="77777777" w:rsidTr="007A7870">
        <w:trPr>
          <w:trHeight w:val="559"/>
        </w:trPr>
        <w:tc>
          <w:tcPr>
            <w:tcW w:w="625" w:type="dxa"/>
            <w:tcBorders>
              <w:top w:val="single" w:sz="4" w:space="0" w:color="auto"/>
              <w:left w:val="single" w:sz="8" w:space="0" w:color="auto"/>
              <w:bottom w:val="single" w:sz="8" w:space="0" w:color="000000"/>
              <w:right w:val="single" w:sz="8" w:space="0" w:color="000000"/>
            </w:tcBorders>
            <w:shd w:val="clear" w:color="auto" w:fill="auto"/>
            <w:vAlign w:val="center"/>
            <w:hideMark/>
          </w:tcPr>
          <w:p w14:paraId="7DCD63E0" w14:textId="77777777" w:rsidR="00494D82" w:rsidRPr="00B47F53" w:rsidRDefault="00494D82" w:rsidP="00F8167B">
            <w:pPr>
              <w:spacing w:after="0"/>
              <w:jc w:val="right"/>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7</w:t>
            </w:r>
          </w:p>
        </w:tc>
        <w:tc>
          <w:tcPr>
            <w:tcW w:w="5330" w:type="dxa"/>
            <w:tcBorders>
              <w:top w:val="single" w:sz="4" w:space="0" w:color="auto"/>
              <w:left w:val="nil"/>
              <w:bottom w:val="single" w:sz="8" w:space="0" w:color="000000"/>
              <w:right w:val="single" w:sz="8" w:space="0" w:color="000000"/>
            </w:tcBorders>
            <w:shd w:val="clear" w:color="auto" w:fill="auto"/>
            <w:vAlign w:val="center"/>
            <w:hideMark/>
          </w:tcPr>
          <w:p w14:paraId="4B7D8CEC" w14:textId="77777777" w:rsidR="00494D82" w:rsidRPr="00B47F53" w:rsidRDefault="00494D82" w:rsidP="00F8167B">
            <w:pPr>
              <w:spacing w:after="0"/>
              <w:jc w:val="both"/>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Instrument type (types to be specified by each jurisdiction)</w:t>
            </w:r>
          </w:p>
        </w:tc>
        <w:tc>
          <w:tcPr>
            <w:tcW w:w="3212" w:type="dxa"/>
            <w:tcBorders>
              <w:top w:val="nil"/>
              <w:left w:val="nil"/>
              <w:bottom w:val="single" w:sz="8" w:space="0" w:color="000000"/>
              <w:right w:val="single" w:sz="8" w:space="0" w:color="auto"/>
            </w:tcBorders>
            <w:shd w:val="clear" w:color="000000" w:fill="D9D9D9"/>
            <w:vAlign w:val="center"/>
            <w:hideMark/>
          </w:tcPr>
          <w:p w14:paraId="2A942003" w14:textId="3F1BC3C2"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hAnsi="Times New Roman" w:cs="Times New Roman"/>
                <w:color w:val="000000"/>
                <w:sz w:val="20"/>
                <w:szCs w:val="20"/>
              </w:rPr>
              <w:t>Subordinated debt</w:t>
            </w:r>
          </w:p>
        </w:tc>
      </w:tr>
      <w:tr w:rsidR="00494D82" w:rsidRPr="00B47F53" w14:paraId="4303FB3E" w14:textId="77777777" w:rsidTr="007A7870">
        <w:trPr>
          <w:trHeight w:val="540"/>
        </w:trPr>
        <w:tc>
          <w:tcPr>
            <w:tcW w:w="625" w:type="dxa"/>
            <w:tcBorders>
              <w:top w:val="nil"/>
              <w:left w:val="single" w:sz="8" w:space="0" w:color="auto"/>
              <w:bottom w:val="single" w:sz="8" w:space="0" w:color="000000"/>
              <w:right w:val="single" w:sz="8" w:space="0" w:color="000000"/>
            </w:tcBorders>
            <w:shd w:val="clear" w:color="auto" w:fill="auto"/>
            <w:vAlign w:val="center"/>
            <w:hideMark/>
          </w:tcPr>
          <w:p w14:paraId="11E11C25" w14:textId="77777777" w:rsidR="00494D82" w:rsidRPr="00B47F53" w:rsidRDefault="00494D82" w:rsidP="00F8167B">
            <w:pPr>
              <w:spacing w:after="0"/>
              <w:jc w:val="right"/>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8</w:t>
            </w:r>
          </w:p>
        </w:tc>
        <w:tc>
          <w:tcPr>
            <w:tcW w:w="5330" w:type="dxa"/>
            <w:tcBorders>
              <w:top w:val="nil"/>
              <w:left w:val="nil"/>
              <w:bottom w:val="single" w:sz="8" w:space="0" w:color="000000"/>
              <w:right w:val="single" w:sz="8" w:space="0" w:color="000000"/>
            </w:tcBorders>
            <w:shd w:val="clear" w:color="auto" w:fill="auto"/>
            <w:vAlign w:val="center"/>
            <w:hideMark/>
          </w:tcPr>
          <w:p w14:paraId="04017722" w14:textId="77777777" w:rsidR="00494D82" w:rsidRPr="00B47F53" w:rsidRDefault="00494D82" w:rsidP="00F8167B">
            <w:pPr>
              <w:spacing w:after="0"/>
              <w:jc w:val="both"/>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Amount recognised in regulatory capital (Currency in mil as of most recent reporting date)</w:t>
            </w:r>
          </w:p>
        </w:tc>
        <w:tc>
          <w:tcPr>
            <w:tcW w:w="3212" w:type="dxa"/>
            <w:tcBorders>
              <w:top w:val="nil"/>
              <w:left w:val="nil"/>
              <w:bottom w:val="single" w:sz="8" w:space="0" w:color="000000"/>
              <w:right w:val="single" w:sz="8" w:space="0" w:color="auto"/>
            </w:tcBorders>
            <w:shd w:val="clear" w:color="000000" w:fill="D9D9D9"/>
            <w:vAlign w:val="center"/>
            <w:hideMark/>
          </w:tcPr>
          <w:p w14:paraId="1A0B6A91" w14:textId="6E9B9620" w:rsidR="00494D82" w:rsidRPr="00B47F53" w:rsidRDefault="00D03052" w:rsidP="007A7870">
            <w:pPr>
              <w:spacing w:after="0"/>
              <w:rPr>
                <w:rFonts w:ascii="Times New Roman" w:eastAsia="Times New Roman" w:hAnsi="Times New Roman" w:cs="Times New Roman"/>
                <w:color w:val="000000"/>
                <w:sz w:val="20"/>
                <w:szCs w:val="20"/>
                <w:lang w:eastAsia="en-ZA"/>
              </w:rPr>
            </w:pPr>
            <w:r w:rsidRPr="00D03052">
              <w:rPr>
                <w:rFonts w:ascii="Times New Roman" w:hAnsi="Times New Roman" w:cs="Times New Roman"/>
                <w:bCs/>
                <w:sz w:val="20"/>
                <w:szCs w:val="20"/>
              </w:rPr>
              <w:t>157,000</w:t>
            </w:r>
          </w:p>
        </w:tc>
      </w:tr>
      <w:tr w:rsidR="00494D82" w:rsidRPr="00B47F53" w14:paraId="01879227" w14:textId="77777777" w:rsidTr="007A7870">
        <w:trPr>
          <w:trHeight w:val="349"/>
        </w:trPr>
        <w:tc>
          <w:tcPr>
            <w:tcW w:w="625" w:type="dxa"/>
            <w:tcBorders>
              <w:top w:val="nil"/>
              <w:left w:val="single" w:sz="8" w:space="0" w:color="auto"/>
              <w:bottom w:val="single" w:sz="8" w:space="0" w:color="000000"/>
              <w:right w:val="single" w:sz="8" w:space="0" w:color="000000"/>
            </w:tcBorders>
            <w:shd w:val="clear" w:color="auto" w:fill="auto"/>
            <w:vAlign w:val="center"/>
            <w:hideMark/>
          </w:tcPr>
          <w:p w14:paraId="0ACA46B4" w14:textId="77777777" w:rsidR="00494D82" w:rsidRPr="00B47F53" w:rsidRDefault="00494D82" w:rsidP="00F8167B">
            <w:pPr>
              <w:spacing w:after="0"/>
              <w:jc w:val="right"/>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9</w:t>
            </w:r>
          </w:p>
        </w:tc>
        <w:tc>
          <w:tcPr>
            <w:tcW w:w="5330" w:type="dxa"/>
            <w:tcBorders>
              <w:top w:val="nil"/>
              <w:left w:val="nil"/>
              <w:bottom w:val="single" w:sz="8" w:space="0" w:color="000000"/>
              <w:right w:val="single" w:sz="8" w:space="0" w:color="000000"/>
            </w:tcBorders>
            <w:shd w:val="clear" w:color="auto" w:fill="auto"/>
            <w:vAlign w:val="center"/>
            <w:hideMark/>
          </w:tcPr>
          <w:p w14:paraId="0D071E51" w14:textId="4EBBDC64" w:rsidR="00494D82" w:rsidRPr="00B47F53" w:rsidRDefault="00494D82" w:rsidP="00F8167B">
            <w:pPr>
              <w:spacing w:after="0"/>
              <w:jc w:val="both"/>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Par value of instrument</w:t>
            </w:r>
            <w:r w:rsidR="00EE662F">
              <w:rPr>
                <w:rFonts w:ascii="Times New Roman" w:eastAsia="Times New Roman" w:hAnsi="Times New Roman" w:cs="Times New Roman"/>
                <w:color w:val="000000"/>
                <w:sz w:val="20"/>
                <w:szCs w:val="20"/>
                <w:lang w:eastAsia="en-ZA"/>
              </w:rPr>
              <w:t xml:space="preserve"> </w:t>
            </w:r>
            <w:r w:rsidR="00EE662F" w:rsidRPr="008D7839">
              <w:rPr>
                <w:rFonts w:ascii="Times New Roman" w:eastAsia="Times New Roman" w:hAnsi="Times New Roman" w:cs="Times New Roman"/>
                <w:i/>
                <w:iCs/>
                <w:color w:val="000000"/>
                <w:sz w:val="20"/>
                <w:szCs w:val="20"/>
                <w:lang w:eastAsia="en-ZA"/>
              </w:rPr>
              <w:t>(Approved by Central Bank)</w:t>
            </w:r>
          </w:p>
        </w:tc>
        <w:tc>
          <w:tcPr>
            <w:tcW w:w="3212" w:type="dxa"/>
            <w:tcBorders>
              <w:top w:val="nil"/>
              <w:left w:val="nil"/>
              <w:bottom w:val="single" w:sz="8" w:space="0" w:color="000000"/>
              <w:right w:val="single" w:sz="8" w:space="0" w:color="auto"/>
            </w:tcBorders>
            <w:shd w:val="clear" w:color="000000" w:fill="D9D9D9"/>
            <w:vAlign w:val="center"/>
            <w:hideMark/>
          </w:tcPr>
          <w:p w14:paraId="6522C25F" w14:textId="5B668FA0" w:rsidR="00494D82" w:rsidRPr="00B47F53" w:rsidRDefault="005369A2" w:rsidP="003D1735">
            <w:pPr>
              <w:spacing w:after="0"/>
              <w:rPr>
                <w:rFonts w:ascii="Times New Roman" w:eastAsia="Times New Roman" w:hAnsi="Times New Roman" w:cs="Times New Roman"/>
                <w:color w:val="000000"/>
                <w:sz w:val="20"/>
                <w:szCs w:val="20"/>
                <w:lang w:eastAsia="en-ZA"/>
              </w:rPr>
            </w:pPr>
            <w:r w:rsidRPr="005369A2">
              <w:rPr>
                <w:rFonts w:ascii="Times New Roman" w:hAnsi="Times New Roman" w:cs="Times New Roman"/>
                <w:color w:val="000000"/>
                <w:sz w:val="20"/>
                <w:szCs w:val="20"/>
              </w:rPr>
              <w:t>157,000</w:t>
            </w:r>
          </w:p>
        </w:tc>
      </w:tr>
      <w:tr w:rsidR="00494D82" w:rsidRPr="00B47F53" w14:paraId="7EB63F59" w14:textId="77777777" w:rsidTr="007A7870">
        <w:trPr>
          <w:trHeight w:val="255"/>
        </w:trPr>
        <w:tc>
          <w:tcPr>
            <w:tcW w:w="625" w:type="dxa"/>
            <w:tcBorders>
              <w:top w:val="nil"/>
              <w:left w:val="single" w:sz="8" w:space="0" w:color="auto"/>
              <w:bottom w:val="single" w:sz="8" w:space="0" w:color="000000"/>
              <w:right w:val="single" w:sz="8" w:space="0" w:color="000000"/>
            </w:tcBorders>
            <w:shd w:val="clear" w:color="auto" w:fill="auto"/>
            <w:vAlign w:val="center"/>
            <w:hideMark/>
          </w:tcPr>
          <w:p w14:paraId="48FE9B43" w14:textId="77777777" w:rsidR="00494D82" w:rsidRPr="00B47F53" w:rsidRDefault="00494D82" w:rsidP="00F8167B">
            <w:pPr>
              <w:spacing w:after="0"/>
              <w:jc w:val="right"/>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10</w:t>
            </w:r>
          </w:p>
        </w:tc>
        <w:tc>
          <w:tcPr>
            <w:tcW w:w="5330" w:type="dxa"/>
            <w:tcBorders>
              <w:top w:val="nil"/>
              <w:left w:val="nil"/>
              <w:bottom w:val="single" w:sz="8" w:space="0" w:color="000000"/>
              <w:right w:val="single" w:sz="8" w:space="0" w:color="000000"/>
            </w:tcBorders>
            <w:shd w:val="clear" w:color="auto" w:fill="auto"/>
            <w:vAlign w:val="center"/>
            <w:hideMark/>
          </w:tcPr>
          <w:p w14:paraId="6A9742EA" w14:textId="77777777" w:rsidR="00494D82" w:rsidRPr="00B47F53" w:rsidRDefault="00494D82" w:rsidP="00F8167B">
            <w:pPr>
              <w:spacing w:after="0"/>
              <w:jc w:val="both"/>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Accounting classification</w:t>
            </w:r>
          </w:p>
        </w:tc>
        <w:tc>
          <w:tcPr>
            <w:tcW w:w="3212" w:type="dxa"/>
            <w:tcBorders>
              <w:top w:val="nil"/>
              <w:left w:val="nil"/>
              <w:bottom w:val="single" w:sz="8" w:space="0" w:color="000000"/>
              <w:right w:val="single" w:sz="8" w:space="0" w:color="auto"/>
            </w:tcBorders>
            <w:shd w:val="clear" w:color="000000" w:fill="D9D9D9"/>
            <w:vAlign w:val="center"/>
            <w:hideMark/>
          </w:tcPr>
          <w:p w14:paraId="47EEEDB0"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 </w:t>
            </w:r>
          </w:p>
          <w:p w14:paraId="34215B3F" w14:textId="77777777" w:rsidR="00494D82" w:rsidRPr="00B47F53" w:rsidRDefault="00494D82" w:rsidP="00F8167B">
            <w:pPr>
              <w:rPr>
                <w:rFonts w:ascii="Times New Roman" w:hAnsi="Times New Roman" w:cs="Times New Roman"/>
                <w:color w:val="000000"/>
                <w:sz w:val="20"/>
                <w:szCs w:val="20"/>
              </w:rPr>
            </w:pPr>
            <w:r w:rsidRPr="00B47F53">
              <w:rPr>
                <w:rFonts w:ascii="Times New Roman" w:hAnsi="Times New Roman" w:cs="Times New Roman"/>
                <w:color w:val="000000"/>
                <w:sz w:val="20"/>
                <w:szCs w:val="20"/>
              </w:rPr>
              <w:t>Subordinated debt</w:t>
            </w:r>
          </w:p>
        </w:tc>
      </w:tr>
      <w:tr w:rsidR="00494D82" w:rsidRPr="00B47F53" w14:paraId="06D4B08C" w14:textId="77777777" w:rsidTr="008D7839">
        <w:trPr>
          <w:trHeight w:val="1447"/>
        </w:trPr>
        <w:tc>
          <w:tcPr>
            <w:tcW w:w="625" w:type="dxa"/>
            <w:tcBorders>
              <w:top w:val="nil"/>
              <w:left w:val="single" w:sz="8" w:space="0" w:color="auto"/>
              <w:bottom w:val="single" w:sz="4" w:space="0" w:color="auto"/>
              <w:right w:val="single" w:sz="8" w:space="0" w:color="000000"/>
            </w:tcBorders>
            <w:shd w:val="clear" w:color="auto" w:fill="auto"/>
            <w:vAlign w:val="center"/>
            <w:hideMark/>
          </w:tcPr>
          <w:p w14:paraId="30A933C4" w14:textId="77777777" w:rsidR="00494D82" w:rsidRPr="00B47F53" w:rsidRDefault="00494D82" w:rsidP="00F8167B">
            <w:pPr>
              <w:spacing w:after="0"/>
              <w:jc w:val="right"/>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11</w:t>
            </w:r>
          </w:p>
        </w:tc>
        <w:tc>
          <w:tcPr>
            <w:tcW w:w="5330" w:type="dxa"/>
            <w:tcBorders>
              <w:top w:val="nil"/>
              <w:left w:val="nil"/>
              <w:bottom w:val="single" w:sz="4" w:space="0" w:color="auto"/>
              <w:right w:val="single" w:sz="8" w:space="0" w:color="000000"/>
            </w:tcBorders>
            <w:shd w:val="clear" w:color="auto" w:fill="auto"/>
            <w:vAlign w:val="center"/>
            <w:hideMark/>
          </w:tcPr>
          <w:p w14:paraId="6633B88C" w14:textId="77777777" w:rsidR="00494D82" w:rsidRPr="00B47F53" w:rsidRDefault="00494D82" w:rsidP="00F8167B">
            <w:pPr>
              <w:spacing w:after="0"/>
              <w:jc w:val="both"/>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Original date of issuance</w:t>
            </w:r>
          </w:p>
        </w:tc>
        <w:tc>
          <w:tcPr>
            <w:tcW w:w="3212" w:type="dxa"/>
            <w:tcBorders>
              <w:top w:val="nil"/>
              <w:left w:val="nil"/>
              <w:bottom w:val="single" w:sz="4" w:space="0" w:color="auto"/>
              <w:right w:val="single" w:sz="8" w:space="0" w:color="auto"/>
            </w:tcBorders>
            <w:shd w:val="clear" w:color="000000" w:fill="D9D9D9"/>
            <w:vAlign w:val="center"/>
            <w:hideMark/>
          </w:tcPr>
          <w:p w14:paraId="693BC499"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 </w:t>
            </w:r>
          </w:p>
          <w:p w14:paraId="467A3F8A" w14:textId="77777777" w:rsidR="00494D82" w:rsidRPr="00B47F53" w:rsidRDefault="00494D82" w:rsidP="00F8167B">
            <w:pPr>
              <w:rPr>
                <w:rFonts w:ascii="Times New Roman" w:hAnsi="Times New Roman" w:cs="Times New Roman"/>
                <w:color w:val="000000"/>
                <w:sz w:val="20"/>
                <w:szCs w:val="20"/>
              </w:rPr>
            </w:pPr>
            <w:r w:rsidRPr="00B47F53">
              <w:rPr>
                <w:rFonts w:ascii="Times New Roman" w:hAnsi="Times New Roman" w:cs="Times New Roman"/>
                <w:color w:val="000000"/>
                <w:sz w:val="20"/>
                <w:szCs w:val="20"/>
              </w:rPr>
              <w:t>01/07/2017</w:t>
            </w:r>
          </w:p>
          <w:p w14:paraId="5E1180EF" w14:textId="77777777" w:rsidR="00A61B76" w:rsidRDefault="003D1735" w:rsidP="00F8167B">
            <w:pPr>
              <w:rPr>
                <w:rFonts w:ascii="Times New Roman" w:hAnsi="Times New Roman" w:cs="Times New Roman"/>
                <w:color w:val="000000"/>
                <w:sz w:val="20"/>
                <w:szCs w:val="20"/>
              </w:rPr>
            </w:pPr>
            <w:r w:rsidRPr="00B47F53">
              <w:rPr>
                <w:rFonts w:ascii="Times New Roman" w:hAnsi="Times New Roman" w:cs="Times New Roman"/>
                <w:color w:val="000000"/>
                <w:sz w:val="20"/>
                <w:szCs w:val="20"/>
              </w:rPr>
              <w:t>01/06/2019</w:t>
            </w:r>
          </w:p>
          <w:p w14:paraId="5AE463C7" w14:textId="2D42A2A4" w:rsidR="00AF39EE" w:rsidRPr="00B47F53" w:rsidRDefault="00AF39EE" w:rsidP="00F8167B">
            <w:pPr>
              <w:rPr>
                <w:rFonts w:ascii="Times New Roman" w:hAnsi="Times New Roman" w:cs="Times New Roman"/>
                <w:color w:val="000000"/>
                <w:sz w:val="20"/>
                <w:szCs w:val="20"/>
              </w:rPr>
            </w:pPr>
            <w:r>
              <w:rPr>
                <w:rFonts w:ascii="Times New Roman" w:hAnsi="Times New Roman" w:cs="Times New Roman"/>
                <w:color w:val="000000"/>
                <w:sz w:val="20"/>
                <w:szCs w:val="20"/>
              </w:rPr>
              <w:t>31/01/2020</w:t>
            </w:r>
          </w:p>
        </w:tc>
      </w:tr>
      <w:tr w:rsidR="00494D82" w:rsidRPr="00B47F53" w14:paraId="7AA0BBE1" w14:textId="77777777" w:rsidTr="007A7870">
        <w:trPr>
          <w:trHeight w:val="593"/>
        </w:trPr>
        <w:tc>
          <w:tcPr>
            <w:tcW w:w="625" w:type="dxa"/>
            <w:tcBorders>
              <w:top w:val="single" w:sz="4" w:space="0" w:color="auto"/>
              <w:left w:val="single" w:sz="8" w:space="0" w:color="auto"/>
              <w:bottom w:val="single" w:sz="8" w:space="0" w:color="000000"/>
              <w:right w:val="single" w:sz="8" w:space="0" w:color="000000"/>
            </w:tcBorders>
            <w:shd w:val="clear" w:color="auto" w:fill="auto"/>
            <w:vAlign w:val="center"/>
            <w:hideMark/>
          </w:tcPr>
          <w:p w14:paraId="2885A9E0" w14:textId="77777777" w:rsidR="00494D82" w:rsidRPr="00B47F53" w:rsidRDefault="00494D82" w:rsidP="00F8167B">
            <w:pPr>
              <w:spacing w:after="0"/>
              <w:jc w:val="right"/>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12</w:t>
            </w:r>
          </w:p>
        </w:tc>
        <w:tc>
          <w:tcPr>
            <w:tcW w:w="5330" w:type="dxa"/>
            <w:tcBorders>
              <w:top w:val="single" w:sz="4" w:space="0" w:color="auto"/>
              <w:left w:val="nil"/>
              <w:bottom w:val="single" w:sz="8" w:space="0" w:color="000000"/>
              <w:right w:val="single" w:sz="8" w:space="0" w:color="000000"/>
            </w:tcBorders>
            <w:shd w:val="clear" w:color="auto" w:fill="auto"/>
            <w:vAlign w:val="center"/>
            <w:hideMark/>
          </w:tcPr>
          <w:p w14:paraId="2AD2C700" w14:textId="77777777" w:rsidR="00494D82" w:rsidRPr="00B47F53" w:rsidRDefault="00494D82" w:rsidP="00F8167B">
            <w:pPr>
              <w:spacing w:after="0"/>
              <w:jc w:val="both"/>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Perpetual or dated</w:t>
            </w:r>
          </w:p>
        </w:tc>
        <w:tc>
          <w:tcPr>
            <w:tcW w:w="3212" w:type="dxa"/>
            <w:tcBorders>
              <w:top w:val="single" w:sz="4" w:space="0" w:color="auto"/>
              <w:left w:val="nil"/>
              <w:bottom w:val="single" w:sz="8" w:space="0" w:color="000000"/>
              <w:right w:val="single" w:sz="8" w:space="0" w:color="auto"/>
            </w:tcBorders>
            <w:shd w:val="clear" w:color="000000" w:fill="D9D9D9"/>
            <w:vAlign w:val="center"/>
            <w:hideMark/>
          </w:tcPr>
          <w:p w14:paraId="73290F8E"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 </w:t>
            </w:r>
          </w:p>
          <w:p w14:paraId="0946C282" w14:textId="77777777" w:rsidR="00494D82" w:rsidRPr="00B47F53" w:rsidRDefault="00494D82" w:rsidP="00F8167B">
            <w:pPr>
              <w:rPr>
                <w:rFonts w:ascii="Times New Roman" w:hAnsi="Times New Roman" w:cs="Times New Roman"/>
                <w:color w:val="000000"/>
                <w:sz w:val="20"/>
                <w:szCs w:val="20"/>
              </w:rPr>
            </w:pPr>
            <w:r w:rsidRPr="00B47F53">
              <w:rPr>
                <w:rFonts w:ascii="Times New Roman" w:hAnsi="Times New Roman" w:cs="Times New Roman"/>
                <w:color w:val="000000"/>
                <w:sz w:val="20"/>
                <w:szCs w:val="20"/>
              </w:rPr>
              <w:t>Dated</w:t>
            </w:r>
          </w:p>
        </w:tc>
      </w:tr>
      <w:tr w:rsidR="00494D82" w:rsidRPr="00B47F53" w14:paraId="402B308C" w14:textId="77777777" w:rsidTr="007A7870">
        <w:trPr>
          <w:trHeight w:val="749"/>
        </w:trPr>
        <w:tc>
          <w:tcPr>
            <w:tcW w:w="625" w:type="dxa"/>
            <w:tcBorders>
              <w:top w:val="nil"/>
              <w:left w:val="single" w:sz="8" w:space="0" w:color="auto"/>
              <w:bottom w:val="single" w:sz="4" w:space="0" w:color="auto"/>
              <w:right w:val="single" w:sz="8" w:space="0" w:color="000000"/>
            </w:tcBorders>
            <w:shd w:val="clear" w:color="auto" w:fill="auto"/>
            <w:vAlign w:val="center"/>
            <w:hideMark/>
          </w:tcPr>
          <w:p w14:paraId="0354B1F6" w14:textId="77777777" w:rsidR="00494D82" w:rsidRPr="00B47F53" w:rsidRDefault="00494D82" w:rsidP="00F8167B">
            <w:pPr>
              <w:spacing w:after="0"/>
              <w:jc w:val="right"/>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13</w:t>
            </w:r>
          </w:p>
        </w:tc>
        <w:tc>
          <w:tcPr>
            <w:tcW w:w="5330" w:type="dxa"/>
            <w:tcBorders>
              <w:top w:val="nil"/>
              <w:left w:val="nil"/>
              <w:bottom w:val="single" w:sz="4" w:space="0" w:color="auto"/>
              <w:right w:val="single" w:sz="8" w:space="0" w:color="000000"/>
            </w:tcBorders>
            <w:shd w:val="clear" w:color="auto" w:fill="auto"/>
            <w:vAlign w:val="center"/>
            <w:hideMark/>
          </w:tcPr>
          <w:p w14:paraId="633BCA5C" w14:textId="77777777" w:rsidR="00494D82" w:rsidRPr="00B47F53" w:rsidRDefault="00494D82" w:rsidP="00F8167B">
            <w:pPr>
              <w:spacing w:after="0"/>
              <w:jc w:val="both"/>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Original maturity date</w:t>
            </w:r>
          </w:p>
        </w:tc>
        <w:tc>
          <w:tcPr>
            <w:tcW w:w="3212" w:type="dxa"/>
            <w:tcBorders>
              <w:top w:val="nil"/>
              <w:left w:val="nil"/>
              <w:bottom w:val="single" w:sz="4" w:space="0" w:color="auto"/>
              <w:right w:val="single" w:sz="8" w:space="0" w:color="auto"/>
            </w:tcBorders>
            <w:shd w:val="clear" w:color="000000" w:fill="D9D9D9"/>
            <w:vAlign w:val="center"/>
            <w:hideMark/>
          </w:tcPr>
          <w:p w14:paraId="07CF1AC5"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 </w:t>
            </w:r>
          </w:p>
          <w:p w14:paraId="2EA25466" w14:textId="77777777" w:rsidR="00494D82" w:rsidRPr="00B47F53" w:rsidRDefault="00494D82" w:rsidP="00F8167B">
            <w:pPr>
              <w:rPr>
                <w:rFonts w:ascii="Times New Roman" w:hAnsi="Times New Roman" w:cs="Times New Roman"/>
                <w:color w:val="000000"/>
                <w:sz w:val="20"/>
                <w:szCs w:val="20"/>
              </w:rPr>
            </w:pPr>
            <w:r w:rsidRPr="00B47F53">
              <w:rPr>
                <w:rFonts w:ascii="Times New Roman" w:hAnsi="Times New Roman" w:cs="Times New Roman"/>
                <w:color w:val="000000"/>
                <w:sz w:val="20"/>
                <w:szCs w:val="20"/>
              </w:rPr>
              <w:t>07/01/2027</w:t>
            </w:r>
          </w:p>
          <w:p w14:paraId="7BC393A2" w14:textId="77777777" w:rsidR="00A61B76" w:rsidRDefault="003D1735" w:rsidP="00F8167B">
            <w:pPr>
              <w:rPr>
                <w:rFonts w:ascii="Times New Roman" w:hAnsi="Times New Roman" w:cs="Times New Roman"/>
                <w:color w:val="000000"/>
                <w:sz w:val="20"/>
                <w:szCs w:val="20"/>
              </w:rPr>
            </w:pPr>
            <w:r w:rsidRPr="00B47F53">
              <w:rPr>
                <w:rFonts w:ascii="Times New Roman" w:hAnsi="Times New Roman" w:cs="Times New Roman"/>
                <w:color w:val="000000"/>
                <w:sz w:val="20"/>
                <w:szCs w:val="20"/>
              </w:rPr>
              <w:t>30/07/2029</w:t>
            </w:r>
          </w:p>
          <w:p w14:paraId="248C948A" w14:textId="340FC2EB" w:rsidR="00AF39EE" w:rsidRPr="00B47F53" w:rsidRDefault="00AF39EE" w:rsidP="00F8167B">
            <w:pPr>
              <w:rPr>
                <w:rFonts w:ascii="Times New Roman" w:hAnsi="Times New Roman" w:cs="Times New Roman"/>
                <w:color w:val="000000"/>
                <w:sz w:val="20"/>
                <w:szCs w:val="20"/>
              </w:rPr>
            </w:pPr>
            <w:r>
              <w:rPr>
                <w:rFonts w:ascii="Times New Roman" w:hAnsi="Times New Roman" w:cs="Times New Roman"/>
                <w:color w:val="000000"/>
                <w:sz w:val="20"/>
                <w:szCs w:val="20"/>
              </w:rPr>
              <w:t>31/01/2030</w:t>
            </w:r>
          </w:p>
        </w:tc>
      </w:tr>
      <w:tr w:rsidR="00494D82" w:rsidRPr="00B47F53" w14:paraId="6B467ED7" w14:textId="77777777" w:rsidTr="007A7870">
        <w:trPr>
          <w:trHeight w:val="602"/>
        </w:trPr>
        <w:tc>
          <w:tcPr>
            <w:tcW w:w="625" w:type="dxa"/>
            <w:tcBorders>
              <w:top w:val="single" w:sz="4" w:space="0" w:color="auto"/>
              <w:left w:val="single" w:sz="8" w:space="0" w:color="auto"/>
              <w:bottom w:val="single" w:sz="8" w:space="0" w:color="000000"/>
              <w:right w:val="single" w:sz="8" w:space="0" w:color="000000"/>
            </w:tcBorders>
            <w:shd w:val="clear" w:color="auto" w:fill="auto"/>
            <w:vAlign w:val="center"/>
            <w:hideMark/>
          </w:tcPr>
          <w:p w14:paraId="53F25076" w14:textId="77777777" w:rsidR="00494D82" w:rsidRPr="00B47F53" w:rsidRDefault="00494D82" w:rsidP="00F8167B">
            <w:pPr>
              <w:spacing w:after="0"/>
              <w:jc w:val="right"/>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14</w:t>
            </w:r>
          </w:p>
        </w:tc>
        <w:tc>
          <w:tcPr>
            <w:tcW w:w="5330" w:type="dxa"/>
            <w:tcBorders>
              <w:top w:val="single" w:sz="4" w:space="0" w:color="auto"/>
              <w:left w:val="nil"/>
              <w:bottom w:val="single" w:sz="8" w:space="0" w:color="000000"/>
              <w:right w:val="single" w:sz="8" w:space="0" w:color="000000"/>
            </w:tcBorders>
            <w:shd w:val="clear" w:color="auto" w:fill="auto"/>
            <w:vAlign w:val="center"/>
            <w:hideMark/>
          </w:tcPr>
          <w:p w14:paraId="1205A466" w14:textId="77777777" w:rsidR="00494D82" w:rsidRPr="00B47F53" w:rsidRDefault="00494D82" w:rsidP="00F8167B">
            <w:pPr>
              <w:spacing w:after="0"/>
              <w:jc w:val="both"/>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Issuer call subject to prior supervisory approval</w:t>
            </w:r>
          </w:p>
        </w:tc>
        <w:tc>
          <w:tcPr>
            <w:tcW w:w="3212" w:type="dxa"/>
            <w:tcBorders>
              <w:top w:val="single" w:sz="4" w:space="0" w:color="auto"/>
              <w:left w:val="nil"/>
              <w:bottom w:val="single" w:sz="8" w:space="0" w:color="000000"/>
              <w:right w:val="single" w:sz="8" w:space="0" w:color="auto"/>
            </w:tcBorders>
            <w:shd w:val="clear" w:color="000000" w:fill="D9D9D9"/>
            <w:vAlign w:val="center"/>
            <w:hideMark/>
          </w:tcPr>
          <w:p w14:paraId="7D80953F"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 </w:t>
            </w:r>
          </w:p>
          <w:p w14:paraId="48EA9AEE" w14:textId="77777777" w:rsidR="00494D82" w:rsidRPr="00B47F53" w:rsidRDefault="00494D82" w:rsidP="00F8167B">
            <w:pPr>
              <w:rPr>
                <w:rFonts w:ascii="Times New Roman" w:eastAsia="Times New Roman" w:hAnsi="Times New Roman" w:cs="Times New Roman"/>
                <w:color w:val="000000"/>
                <w:sz w:val="20"/>
                <w:szCs w:val="20"/>
                <w:lang w:eastAsia="en-ZA"/>
              </w:rPr>
            </w:pPr>
            <w:r w:rsidRPr="00B47F53">
              <w:rPr>
                <w:rFonts w:ascii="Times New Roman" w:hAnsi="Times New Roman" w:cs="Times New Roman"/>
                <w:color w:val="000000"/>
                <w:sz w:val="20"/>
                <w:szCs w:val="20"/>
              </w:rPr>
              <w:t>Non-callable</w:t>
            </w:r>
          </w:p>
        </w:tc>
      </w:tr>
      <w:tr w:rsidR="00494D82" w:rsidRPr="00B47F53" w14:paraId="1F5D915E" w14:textId="77777777" w:rsidTr="00F3365A">
        <w:trPr>
          <w:trHeight w:val="611"/>
        </w:trPr>
        <w:tc>
          <w:tcPr>
            <w:tcW w:w="625" w:type="dxa"/>
            <w:tcBorders>
              <w:top w:val="nil"/>
              <w:left w:val="single" w:sz="8" w:space="0" w:color="auto"/>
              <w:bottom w:val="single" w:sz="2" w:space="0" w:color="auto"/>
              <w:right w:val="single" w:sz="8" w:space="0" w:color="000000"/>
            </w:tcBorders>
            <w:shd w:val="clear" w:color="auto" w:fill="auto"/>
            <w:vAlign w:val="center"/>
            <w:hideMark/>
          </w:tcPr>
          <w:p w14:paraId="0A7CEAE8" w14:textId="77777777" w:rsidR="00494D82" w:rsidRPr="00B47F53" w:rsidRDefault="00494D82" w:rsidP="00F8167B">
            <w:pPr>
              <w:spacing w:after="0"/>
              <w:jc w:val="right"/>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15</w:t>
            </w:r>
          </w:p>
        </w:tc>
        <w:tc>
          <w:tcPr>
            <w:tcW w:w="5330" w:type="dxa"/>
            <w:tcBorders>
              <w:top w:val="nil"/>
              <w:left w:val="nil"/>
              <w:bottom w:val="single" w:sz="2" w:space="0" w:color="auto"/>
              <w:right w:val="single" w:sz="8" w:space="0" w:color="000000"/>
            </w:tcBorders>
            <w:shd w:val="clear" w:color="auto" w:fill="auto"/>
            <w:vAlign w:val="center"/>
            <w:hideMark/>
          </w:tcPr>
          <w:p w14:paraId="754C6FDD" w14:textId="77777777" w:rsidR="00494D82" w:rsidRPr="00B47F53" w:rsidRDefault="00494D82" w:rsidP="00F8167B">
            <w:pPr>
              <w:spacing w:after="0"/>
              <w:jc w:val="both"/>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Optional call date contingent call dates and redemption amount</w:t>
            </w:r>
          </w:p>
        </w:tc>
        <w:tc>
          <w:tcPr>
            <w:tcW w:w="3212" w:type="dxa"/>
            <w:tcBorders>
              <w:top w:val="nil"/>
              <w:left w:val="nil"/>
              <w:bottom w:val="single" w:sz="2" w:space="0" w:color="auto"/>
              <w:right w:val="single" w:sz="8" w:space="0" w:color="auto"/>
            </w:tcBorders>
            <w:shd w:val="clear" w:color="000000" w:fill="D9D9D9"/>
            <w:vAlign w:val="center"/>
            <w:hideMark/>
          </w:tcPr>
          <w:p w14:paraId="2A33C6C7" w14:textId="4E3E5ED2" w:rsidR="00494D82" w:rsidRPr="00B47F53" w:rsidRDefault="00494D82" w:rsidP="007A7870">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 </w:t>
            </w:r>
            <w:r w:rsidRPr="00B47F53">
              <w:rPr>
                <w:rFonts w:ascii="Times New Roman" w:hAnsi="Times New Roman" w:cs="Times New Roman"/>
                <w:color w:val="000000"/>
                <w:sz w:val="20"/>
                <w:szCs w:val="20"/>
              </w:rPr>
              <w:t xml:space="preserve">Not Applicable </w:t>
            </w:r>
          </w:p>
        </w:tc>
      </w:tr>
      <w:tr w:rsidR="00494D82" w:rsidRPr="00B47F53" w14:paraId="72940A6D" w14:textId="77777777" w:rsidTr="00F3365A">
        <w:trPr>
          <w:trHeight w:val="255"/>
        </w:trPr>
        <w:tc>
          <w:tcPr>
            <w:tcW w:w="625" w:type="dxa"/>
            <w:tcBorders>
              <w:top w:val="single" w:sz="2" w:space="0" w:color="auto"/>
              <w:left w:val="single" w:sz="8" w:space="0" w:color="auto"/>
              <w:bottom w:val="single" w:sz="8" w:space="0" w:color="000000"/>
              <w:right w:val="single" w:sz="8" w:space="0" w:color="000000"/>
            </w:tcBorders>
            <w:shd w:val="clear" w:color="auto" w:fill="auto"/>
            <w:vAlign w:val="center"/>
            <w:hideMark/>
          </w:tcPr>
          <w:p w14:paraId="639E8B27" w14:textId="77777777" w:rsidR="00494D82" w:rsidRPr="00B47F53" w:rsidRDefault="00494D82" w:rsidP="00F8167B">
            <w:pPr>
              <w:spacing w:after="0"/>
              <w:jc w:val="right"/>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lastRenderedPageBreak/>
              <w:t>16</w:t>
            </w:r>
          </w:p>
        </w:tc>
        <w:tc>
          <w:tcPr>
            <w:tcW w:w="5330" w:type="dxa"/>
            <w:tcBorders>
              <w:top w:val="single" w:sz="2" w:space="0" w:color="auto"/>
              <w:left w:val="nil"/>
              <w:bottom w:val="single" w:sz="8" w:space="0" w:color="000000"/>
              <w:right w:val="single" w:sz="8" w:space="0" w:color="000000"/>
            </w:tcBorders>
            <w:shd w:val="clear" w:color="auto" w:fill="auto"/>
            <w:vAlign w:val="center"/>
            <w:hideMark/>
          </w:tcPr>
          <w:p w14:paraId="544D465C"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Subsequent call dates if applicable</w:t>
            </w:r>
          </w:p>
        </w:tc>
        <w:tc>
          <w:tcPr>
            <w:tcW w:w="3212" w:type="dxa"/>
            <w:tcBorders>
              <w:top w:val="single" w:sz="2" w:space="0" w:color="auto"/>
              <w:left w:val="nil"/>
              <w:bottom w:val="single" w:sz="8" w:space="0" w:color="000000"/>
              <w:right w:val="single" w:sz="8" w:space="0" w:color="auto"/>
            </w:tcBorders>
            <w:shd w:val="clear" w:color="000000" w:fill="D9D9D9"/>
            <w:vAlign w:val="center"/>
            <w:hideMark/>
          </w:tcPr>
          <w:p w14:paraId="3391268B"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 </w:t>
            </w:r>
          </w:p>
          <w:p w14:paraId="62806448" w14:textId="77777777" w:rsidR="00494D82" w:rsidRPr="00B47F53" w:rsidRDefault="00494D82" w:rsidP="00F8167B">
            <w:pPr>
              <w:rPr>
                <w:rFonts w:ascii="Times New Roman" w:hAnsi="Times New Roman" w:cs="Times New Roman"/>
                <w:color w:val="000000"/>
                <w:sz w:val="20"/>
                <w:szCs w:val="20"/>
              </w:rPr>
            </w:pPr>
            <w:r w:rsidRPr="00B47F53">
              <w:rPr>
                <w:rFonts w:ascii="Times New Roman" w:hAnsi="Times New Roman" w:cs="Times New Roman"/>
                <w:color w:val="000000"/>
                <w:sz w:val="20"/>
                <w:szCs w:val="20"/>
              </w:rPr>
              <w:t xml:space="preserve">Not Applicable </w:t>
            </w:r>
          </w:p>
        </w:tc>
      </w:tr>
      <w:tr w:rsidR="00494D82" w:rsidRPr="00B47F53" w14:paraId="7B0E1B0F" w14:textId="77777777" w:rsidTr="007A7870">
        <w:trPr>
          <w:trHeight w:val="371"/>
        </w:trPr>
        <w:tc>
          <w:tcPr>
            <w:tcW w:w="625" w:type="dxa"/>
            <w:tcBorders>
              <w:top w:val="nil"/>
              <w:left w:val="single" w:sz="8" w:space="0" w:color="auto"/>
              <w:bottom w:val="single" w:sz="8" w:space="0" w:color="000000"/>
              <w:right w:val="single" w:sz="8" w:space="0" w:color="000000"/>
            </w:tcBorders>
            <w:shd w:val="clear" w:color="auto" w:fill="auto"/>
            <w:vAlign w:val="center"/>
            <w:hideMark/>
          </w:tcPr>
          <w:p w14:paraId="3460E37F"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 </w:t>
            </w:r>
          </w:p>
        </w:tc>
        <w:tc>
          <w:tcPr>
            <w:tcW w:w="5330" w:type="dxa"/>
            <w:tcBorders>
              <w:top w:val="nil"/>
              <w:left w:val="nil"/>
              <w:bottom w:val="single" w:sz="8" w:space="0" w:color="000000"/>
              <w:right w:val="single" w:sz="8" w:space="0" w:color="000000"/>
            </w:tcBorders>
            <w:shd w:val="clear" w:color="auto" w:fill="auto"/>
            <w:vAlign w:val="center"/>
            <w:hideMark/>
          </w:tcPr>
          <w:p w14:paraId="04044832" w14:textId="77777777" w:rsidR="00494D82" w:rsidRPr="00B47F53" w:rsidRDefault="00494D82" w:rsidP="00F8167B">
            <w:pPr>
              <w:spacing w:after="0"/>
              <w:rPr>
                <w:rFonts w:ascii="Times New Roman" w:eastAsia="Times New Roman" w:hAnsi="Times New Roman" w:cs="Times New Roman"/>
                <w:i/>
                <w:iCs/>
                <w:color w:val="000000"/>
                <w:sz w:val="20"/>
                <w:szCs w:val="20"/>
                <w:lang w:eastAsia="en-ZA"/>
              </w:rPr>
            </w:pPr>
            <w:r w:rsidRPr="00B47F53">
              <w:rPr>
                <w:rFonts w:ascii="Times New Roman" w:eastAsia="Times New Roman" w:hAnsi="Times New Roman" w:cs="Times New Roman"/>
                <w:i/>
                <w:iCs/>
                <w:color w:val="000000"/>
                <w:sz w:val="20"/>
                <w:szCs w:val="20"/>
                <w:lang w:eastAsia="en-ZA"/>
              </w:rPr>
              <w:t>Coupons / dividends</w:t>
            </w:r>
          </w:p>
        </w:tc>
        <w:tc>
          <w:tcPr>
            <w:tcW w:w="3212" w:type="dxa"/>
            <w:tcBorders>
              <w:top w:val="nil"/>
              <w:left w:val="nil"/>
              <w:bottom w:val="single" w:sz="8" w:space="0" w:color="000000"/>
              <w:right w:val="single" w:sz="8" w:space="0" w:color="auto"/>
            </w:tcBorders>
            <w:shd w:val="clear" w:color="auto" w:fill="D9D9D9" w:themeFill="background1" w:themeFillShade="D9"/>
            <w:vAlign w:val="center"/>
            <w:hideMark/>
          </w:tcPr>
          <w:p w14:paraId="33525D76"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 </w:t>
            </w:r>
          </w:p>
          <w:p w14:paraId="79D853A7" w14:textId="77777777" w:rsidR="00494D82" w:rsidRPr="00B47F53" w:rsidRDefault="00494D82" w:rsidP="00F8167B">
            <w:pPr>
              <w:rPr>
                <w:rFonts w:ascii="Times New Roman" w:hAnsi="Times New Roman" w:cs="Times New Roman"/>
                <w:color w:val="000000"/>
                <w:sz w:val="20"/>
                <w:szCs w:val="20"/>
              </w:rPr>
            </w:pPr>
            <w:r w:rsidRPr="00B47F53">
              <w:rPr>
                <w:rFonts w:ascii="Times New Roman" w:hAnsi="Times New Roman" w:cs="Times New Roman"/>
                <w:color w:val="000000"/>
                <w:sz w:val="20"/>
                <w:szCs w:val="20"/>
              </w:rPr>
              <w:t>Coupon</w:t>
            </w:r>
          </w:p>
        </w:tc>
      </w:tr>
      <w:tr w:rsidR="00494D82" w:rsidRPr="00B47F53" w14:paraId="06C6E725" w14:textId="77777777" w:rsidTr="007A7870">
        <w:trPr>
          <w:trHeight w:val="446"/>
        </w:trPr>
        <w:tc>
          <w:tcPr>
            <w:tcW w:w="625" w:type="dxa"/>
            <w:tcBorders>
              <w:top w:val="nil"/>
              <w:left w:val="single" w:sz="8" w:space="0" w:color="auto"/>
              <w:bottom w:val="single" w:sz="8" w:space="0" w:color="000000"/>
              <w:right w:val="single" w:sz="8" w:space="0" w:color="000000"/>
            </w:tcBorders>
            <w:shd w:val="clear" w:color="auto" w:fill="auto"/>
            <w:vAlign w:val="center"/>
            <w:hideMark/>
          </w:tcPr>
          <w:p w14:paraId="67311624" w14:textId="77777777" w:rsidR="00494D82" w:rsidRPr="00B47F53" w:rsidRDefault="00494D82" w:rsidP="00F8167B">
            <w:pPr>
              <w:spacing w:after="0"/>
              <w:jc w:val="right"/>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17</w:t>
            </w:r>
          </w:p>
        </w:tc>
        <w:tc>
          <w:tcPr>
            <w:tcW w:w="5330" w:type="dxa"/>
            <w:tcBorders>
              <w:top w:val="nil"/>
              <w:left w:val="nil"/>
              <w:bottom w:val="single" w:sz="8" w:space="0" w:color="000000"/>
              <w:right w:val="single" w:sz="8" w:space="0" w:color="000000"/>
            </w:tcBorders>
            <w:shd w:val="clear" w:color="auto" w:fill="auto"/>
            <w:vAlign w:val="center"/>
            <w:hideMark/>
          </w:tcPr>
          <w:p w14:paraId="612B617B"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Fixed or floating dividend/coupon</w:t>
            </w:r>
          </w:p>
        </w:tc>
        <w:tc>
          <w:tcPr>
            <w:tcW w:w="3212" w:type="dxa"/>
            <w:tcBorders>
              <w:top w:val="nil"/>
              <w:left w:val="nil"/>
              <w:bottom w:val="single" w:sz="8" w:space="0" w:color="000000"/>
              <w:right w:val="single" w:sz="8" w:space="0" w:color="auto"/>
            </w:tcBorders>
            <w:shd w:val="clear" w:color="000000" w:fill="D9D9D9"/>
            <w:vAlign w:val="center"/>
            <w:hideMark/>
          </w:tcPr>
          <w:p w14:paraId="584795EE"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 </w:t>
            </w:r>
          </w:p>
          <w:p w14:paraId="4D4FBB07" w14:textId="77777777" w:rsidR="00494D82" w:rsidRPr="00B47F53" w:rsidRDefault="00494D82" w:rsidP="00F8167B">
            <w:pPr>
              <w:rPr>
                <w:rFonts w:ascii="Times New Roman" w:hAnsi="Times New Roman" w:cs="Times New Roman"/>
                <w:color w:val="000000"/>
                <w:sz w:val="20"/>
                <w:szCs w:val="20"/>
              </w:rPr>
            </w:pPr>
            <w:r w:rsidRPr="00B47F53">
              <w:rPr>
                <w:rFonts w:ascii="Times New Roman" w:hAnsi="Times New Roman" w:cs="Times New Roman"/>
                <w:color w:val="000000"/>
                <w:sz w:val="20"/>
                <w:szCs w:val="20"/>
              </w:rPr>
              <w:t>Floating</w:t>
            </w:r>
          </w:p>
        </w:tc>
      </w:tr>
      <w:tr w:rsidR="00494D82" w:rsidRPr="00B47F53" w14:paraId="249C0339" w14:textId="77777777" w:rsidTr="007A7870">
        <w:trPr>
          <w:trHeight w:val="1519"/>
        </w:trPr>
        <w:tc>
          <w:tcPr>
            <w:tcW w:w="625" w:type="dxa"/>
            <w:tcBorders>
              <w:top w:val="nil"/>
              <w:left w:val="single" w:sz="8" w:space="0" w:color="auto"/>
              <w:bottom w:val="single" w:sz="8" w:space="0" w:color="000000"/>
              <w:right w:val="single" w:sz="8" w:space="0" w:color="000000"/>
            </w:tcBorders>
            <w:shd w:val="clear" w:color="auto" w:fill="auto"/>
            <w:vAlign w:val="center"/>
            <w:hideMark/>
          </w:tcPr>
          <w:p w14:paraId="179E23A0" w14:textId="77777777" w:rsidR="00494D82" w:rsidRPr="00B47F53" w:rsidRDefault="00494D82" w:rsidP="00F8167B">
            <w:pPr>
              <w:spacing w:after="0"/>
              <w:jc w:val="right"/>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18</w:t>
            </w:r>
          </w:p>
        </w:tc>
        <w:tc>
          <w:tcPr>
            <w:tcW w:w="5330" w:type="dxa"/>
            <w:tcBorders>
              <w:top w:val="nil"/>
              <w:left w:val="nil"/>
              <w:bottom w:val="single" w:sz="8" w:space="0" w:color="000000"/>
              <w:right w:val="single" w:sz="8" w:space="0" w:color="000000"/>
            </w:tcBorders>
            <w:shd w:val="clear" w:color="auto" w:fill="auto"/>
            <w:vAlign w:val="center"/>
            <w:hideMark/>
          </w:tcPr>
          <w:p w14:paraId="28C978E8"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Coupon rate and any related index</w:t>
            </w:r>
          </w:p>
        </w:tc>
        <w:tc>
          <w:tcPr>
            <w:tcW w:w="3212" w:type="dxa"/>
            <w:tcBorders>
              <w:top w:val="nil"/>
              <w:left w:val="nil"/>
              <w:bottom w:val="single" w:sz="8" w:space="0" w:color="000000"/>
              <w:right w:val="single" w:sz="8" w:space="0" w:color="auto"/>
            </w:tcBorders>
            <w:shd w:val="clear" w:color="000000" w:fill="D9D9D9"/>
            <w:vAlign w:val="center"/>
            <w:hideMark/>
          </w:tcPr>
          <w:p w14:paraId="54303692"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 </w:t>
            </w:r>
          </w:p>
          <w:p w14:paraId="196B698F" w14:textId="77777777" w:rsidR="006967EA" w:rsidRPr="00B47F53" w:rsidRDefault="00494D82" w:rsidP="006967EA">
            <w:pPr>
              <w:rPr>
                <w:rFonts w:ascii="Times New Roman" w:hAnsi="Times New Roman" w:cs="Times New Roman"/>
                <w:color w:val="000000"/>
                <w:sz w:val="20"/>
                <w:szCs w:val="20"/>
              </w:rPr>
            </w:pPr>
            <w:r w:rsidRPr="00B47F53">
              <w:rPr>
                <w:rFonts w:ascii="Times New Roman" w:hAnsi="Times New Roman" w:cs="Times New Roman"/>
                <w:color w:val="000000"/>
                <w:sz w:val="20"/>
                <w:szCs w:val="20"/>
              </w:rPr>
              <w:t xml:space="preserve">Floating rate earning interest at 270 basis points above the bank rate </w:t>
            </w:r>
          </w:p>
          <w:p w14:paraId="254B6187" w14:textId="77777777" w:rsidR="003D1735" w:rsidRDefault="003D1735" w:rsidP="003D1735">
            <w:pPr>
              <w:rPr>
                <w:rFonts w:ascii="Times New Roman" w:hAnsi="Times New Roman" w:cs="Times New Roman"/>
                <w:color w:val="000000"/>
                <w:sz w:val="20"/>
                <w:szCs w:val="20"/>
              </w:rPr>
            </w:pPr>
            <w:r w:rsidRPr="00B47F53">
              <w:rPr>
                <w:rFonts w:ascii="Times New Roman" w:hAnsi="Times New Roman" w:cs="Times New Roman"/>
                <w:color w:val="000000"/>
                <w:sz w:val="20"/>
                <w:szCs w:val="20"/>
              </w:rPr>
              <w:t>Floating rate earning interest at 325 basis points above the bank rate</w:t>
            </w:r>
          </w:p>
          <w:p w14:paraId="48BD636C" w14:textId="57E9302A" w:rsidR="00AF39EE" w:rsidRPr="00B47F53" w:rsidRDefault="00AF39EE" w:rsidP="003D1735">
            <w:pPr>
              <w:rPr>
                <w:rFonts w:ascii="Times New Roman" w:hAnsi="Times New Roman" w:cs="Times New Roman"/>
                <w:color w:val="000000"/>
                <w:sz w:val="20"/>
                <w:szCs w:val="20"/>
              </w:rPr>
            </w:pPr>
            <w:r w:rsidRPr="00B47F53">
              <w:rPr>
                <w:rFonts w:ascii="Times New Roman" w:hAnsi="Times New Roman" w:cs="Times New Roman"/>
                <w:color w:val="000000"/>
                <w:sz w:val="20"/>
                <w:szCs w:val="20"/>
              </w:rPr>
              <w:t>Floating rate earning interest at 325 basis points above the bank rate</w:t>
            </w:r>
          </w:p>
        </w:tc>
      </w:tr>
      <w:tr w:rsidR="00494D82" w:rsidRPr="00B47F53" w14:paraId="1286F4BE" w14:textId="77777777" w:rsidTr="007A7870">
        <w:trPr>
          <w:trHeight w:val="311"/>
        </w:trPr>
        <w:tc>
          <w:tcPr>
            <w:tcW w:w="625" w:type="dxa"/>
            <w:tcBorders>
              <w:top w:val="nil"/>
              <w:left w:val="single" w:sz="8" w:space="0" w:color="auto"/>
              <w:bottom w:val="single" w:sz="4" w:space="0" w:color="auto"/>
              <w:right w:val="single" w:sz="8" w:space="0" w:color="000000"/>
            </w:tcBorders>
            <w:shd w:val="clear" w:color="auto" w:fill="auto"/>
            <w:vAlign w:val="center"/>
            <w:hideMark/>
          </w:tcPr>
          <w:p w14:paraId="10346525" w14:textId="77777777" w:rsidR="00494D82" w:rsidRPr="00B47F53" w:rsidRDefault="00494D82" w:rsidP="00F8167B">
            <w:pPr>
              <w:spacing w:after="0"/>
              <w:jc w:val="right"/>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19</w:t>
            </w:r>
          </w:p>
        </w:tc>
        <w:tc>
          <w:tcPr>
            <w:tcW w:w="5330" w:type="dxa"/>
            <w:tcBorders>
              <w:top w:val="nil"/>
              <w:left w:val="nil"/>
              <w:bottom w:val="single" w:sz="4" w:space="0" w:color="auto"/>
              <w:right w:val="single" w:sz="8" w:space="0" w:color="000000"/>
            </w:tcBorders>
            <w:shd w:val="clear" w:color="auto" w:fill="auto"/>
            <w:vAlign w:val="center"/>
            <w:hideMark/>
          </w:tcPr>
          <w:p w14:paraId="45190233" w14:textId="77777777" w:rsidR="00494D82" w:rsidRPr="00B47F53" w:rsidRDefault="00494D82" w:rsidP="00F8167B">
            <w:pPr>
              <w:spacing w:after="0"/>
              <w:jc w:val="both"/>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Existence of a dividend stopper</w:t>
            </w:r>
          </w:p>
        </w:tc>
        <w:tc>
          <w:tcPr>
            <w:tcW w:w="3212" w:type="dxa"/>
            <w:tcBorders>
              <w:top w:val="nil"/>
              <w:left w:val="nil"/>
              <w:bottom w:val="single" w:sz="4" w:space="0" w:color="auto"/>
              <w:right w:val="single" w:sz="8" w:space="0" w:color="auto"/>
            </w:tcBorders>
            <w:shd w:val="clear" w:color="000000" w:fill="D9D9D9"/>
            <w:vAlign w:val="center"/>
            <w:hideMark/>
          </w:tcPr>
          <w:p w14:paraId="6B763C7C"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 </w:t>
            </w:r>
          </w:p>
          <w:p w14:paraId="31FB58B5" w14:textId="77777777" w:rsidR="00494D82" w:rsidRPr="00B47F53" w:rsidRDefault="00494D82" w:rsidP="00F8167B">
            <w:pPr>
              <w:rPr>
                <w:rFonts w:ascii="Times New Roman" w:eastAsia="Times New Roman" w:hAnsi="Times New Roman" w:cs="Times New Roman"/>
                <w:color w:val="000000"/>
                <w:sz w:val="20"/>
                <w:szCs w:val="20"/>
                <w:lang w:eastAsia="en-ZA"/>
              </w:rPr>
            </w:pPr>
            <w:r w:rsidRPr="00B47F53">
              <w:rPr>
                <w:rFonts w:ascii="Times New Roman" w:hAnsi="Times New Roman" w:cs="Times New Roman"/>
                <w:color w:val="000000"/>
                <w:sz w:val="20"/>
                <w:szCs w:val="20"/>
              </w:rPr>
              <w:t xml:space="preserve">Not Applicable </w:t>
            </w:r>
          </w:p>
        </w:tc>
      </w:tr>
      <w:tr w:rsidR="00494D82" w:rsidRPr="00B47F53" w14:paraId="6117094A" w14:textId="77777777" w:rsidTr="007A7870">
        <w:trPr>
          <w:trHeight w:val="641"/>
        </w:trPr>
        <w:tc>
          <w:tcPr>
            <w:tcW w:w="625" w:type="dxa"/>
            <w:tcBorders>
              <w:top w:val="single" w:sz="4" w:space="0" w:color="auto"/>
              <w:left w:val="single" w:sz="8" w:space="0" w:color="auto"/>
              <w:bottom w:val="single" w:sz="8" w:space="0" w:color="000000"/>
              <w:right w:val="single" w:sz="8" w:space="0" w:color="000000"/>
            </w:tcBorders>
            <w:shd w:val="clear" w:color="auto" w:fill="auto"/>
            <w:vAlign w:val="center"/>
            <w:hideMark/>
          </w:tcPr>
          <w:p w14:paraId="5E67E075" w14:textId="77777777" w:rsidR="00494D82" w:rsidRPr="00B47F53" w:rsidRDefault="00494D82" w:rsidP="00F8167B">
            <w:pPr>
              <w:spacing w:after="0"/>
              <w:jc w:val="right"/>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20</w:t>
            </w:r>
          </w:p>
        </w:tc>
        <w:tc>
          <w:tcPr>
            <w:tcW w:w="5330" w:type="dxa"/>
            <w:tcBorders>
              <w:top w:val="single" w:sz="4" w:space="0" w:color="auto"/>
              <w:left w:val="nil"/>
              <w:bottom w:val="single" w:sz="8" w:space="0" w:color="000000"/>
              <w:right w:val="single" w:sz="8" w:space="0" w:color="000000"/>
            </w:tcBorders>
            <w:shd w:val="clear" w:color="auto" w:fill="auto"/>
            <w:vAlign w:val="center"/>
            <w:hideMark/>
          </w:tcPr>
          <w:p w14:paraId="521AD4A0" w14:textId="77777777" w:rsidR="00494D82" w:rsidRPr="00B47F53" w:rsidRDefault="00494D82" w:rsidP="00F8167B">
            <w:pPr>
              <w:spacing w:after="0"/>
              <w:jc w:val="both"/>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Fully discretionary partially discretionary or mandatory</w:t>
            </w:r>
          </w:p>
        </w:tc>
        <w:tc>
          <w:tcPr>
            <w:tcW w:w="3212" w:type="dxa"/>
            <w:tcBorders>
              <w:top w:val="single" w:sz="4" w:space="0" w:color="auto"/>
              <w:left w:val="nil"/>
              <w:bottom w:val="single" w:sz="8" w:space="0" w:color="000000"/>
              <w:right w:val="single" w:sz="8" w:space="0" w:color="auto"/>
            </w:tcBorders>
            <w:shd w:val="clear" w:color="000000" w:fill="D9D9D9"/>
            <w:vAlign w:val="center"/>
            <w:hideMark/>
          </w:tcPr>
          <w:p w14:paraId="6A5BDC15"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 </w:t>
            </w:r>
            <w:r w:rsidRPr="00B47F53">
              <w:rPr>
                <w:rFonts w:ascii="Times New Roman" w:hAnsi="Times New Roman" w:cs="Times New Roman"/>
                <w:color w:val="000000"/>
                <w:sz w:val="20"/>
                <w:szCs w:val="20"/>
              </w:rPr>
              <w:t xml:space="preserve">Not Applicable </w:t>
            </w:r>
          </w:p>
        </w:tc>
      </w:tr>
      <w:tr w:rsidR="00494D82" w:rsidRPr="00B47F53" w14:paraId="2711D7AE" w14:textId="77777777" w:rsidTr="007A7870">
        <w:trPr>
          <w:trHeight w:val="432"/>
        </w:trPr>
        <w:tc>
          <w:tcPr>
            <w:tcW w:w="625" w:type="dxa"/>
            <w:tcBorders>
              <w:top w:val="nil"/>
              <w:left w:val="single" w:sz="8" w:space="0" w:color="auto"/>
              <w:bottom w:val="single" w:sz="4" w:space="0" w:color="auto"/>
              <w:right w:val="single" w:sz="8" w:space="0" w:color="000000"/>
            </w:tcBorders>
            <w:shd w:val="clear" w:color="auto" w:fill="auto"/>
            <w:vAlign w:val="center"/>
            <w:hideMark/>
          </w:tcPr>
          <w:p w14:paraId="4BCC38CB" w14:textId="77777777" w:rsidR="00494D82" w:rsidRPr="00B47F53" w:rsidRDefault="00494D82" w:rsidP="00F8167B">
            <w:pPr>
              <w:spacing w:after="0"/>
              <w:jc w:val="right"/>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21</w:t>
            </w:r>
          </w:p>
        </w:tc>
        <w:tc>
          <w:tcPr>
            <w:tcW w:w="5330" w:type="dxa"/>
            <w:tcBorders>
              <w:top w:val="nil"/>
              <w:left w:val="nil"/>
              <w:bottom w:val="single" w:sz="4" w:space="0" w:color="auto"/>
              <w:right w:val="single" w:sz="8" w:space="0" w:color="000000"/>
            </w:tcBorders>
            <w:shd w:val="clear" w:color="auto" w:fill="auto"/>
            <w:vAlign w:val="center"/>
            <w:hideMark/>
          </w:tcPr>
          <w:p w14:paraId="74ABA693" w14:textId="77777777" w:rsidR="00494D82" w:rsidRPr="00B47F53" w:rsidRDefault="00494D82" w:rsidP="00F8167B">
            <w:pPr>
              <w:spacing w:after="0"/>
              <w:jc w:val="both"/>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Existence of step up or other incentive to redeem</w:t>
            </w:r>
          </w:p>
        </w:tc>
        <w:tc>
          <w:tcPr>
            <w:tcW w:w="3212" w:type="dxa"/>
            <w:tcBorders>
              <w:top w:val="nil"/>
              <w:left w:val="nil"/>
              <w:bottom w:val="single" w:sz="4" w:space="0" w:color="auto"/>
              <w:right w:val="single" w:sz="8" w:space="0" w:color="auto"/>
            </w:tcBorders>
            <w:shd w:val="clear" w:color="000000" w:fill="D9D9D9"/>
            <w:vAlign w:val="center"/>
            <w:hideMark/>
          </w:tcPr>
          <w:p w14:paraId="782245A4"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 </w:t>
            </w:r>
          </w:p>
          <w:p w14:paraId="55D6A8AD" w14:textId="77777777" w:rsidR="00494D82" w:rsidRPr="00B47F53" w:rsidRDefault="00494D82" w:rsidP="00F8167B">
            <w:pPr>
              <w:rPr>
                <w:rFonts w:ascii="Times New Roman" w:eastAsia="Times New Roman" w:hAnsi="Times New Roman" w:cs="Times New Roman"/>
                <w:color w:val="000000"/>
                <w:sz w:val="20"/>
                <w:szCs w:val="20"/>
                <w:lang w:eastAsia="en-ZA"/>
              </w:rPr>
            </w:pPr>
            <w:r w:rsidRPr="00B47F53">
              <w:rPr>
                <w:rFonts w:ascii="Times New Roman" w:hAnsi="Times New Roman" w:cs="Times New Roman"/>
                <w:color w:val="000000"/>
                <w:sz w:val="20"/>
                <w:szCs w:val="20"/>
              </w:rPr>
              <w:t xml:space="preserve">Not Applicable </w:t>
            </w:r>
          </w:p>
        </w:tc>
      </w:tr>
      <w:tr w:rsidR="00494D82" w:rsidRPr="00B47F53" w14:paraId="267A347A" w14:textId="77777777" w:rsidTr="007A7870">
        <w:trPr>
          <w:trHeight w:val="720"/>
        </w:trPr>
        <w:tc>
          <w:tcPr>
            <w:tcW w:w="625" w:type="dxa"/>
            <w:tcBorders>
              <w:top w:val="single" w:sz="4" w:space="0" w:color="auto"/>
              <w:left w:val="single" w:sz="8" w:space="0" w:color="auto"/>
              <w:bottom w:val="single" w:sz="8" w:space="0" w:color="000000"/>
              <w:right w:val="single" w:sz="8" w:space="0" w:color="000000"/>
            </w:tcBorders>
            <w:shd w:val="clear" w:color="auto" w:fill="auto"/>
            <w:vAlign w:val="center"/>
            <w:hideMark/>
          </w:tcPr>
          <w:p w14:paraId="728BF816" w14:textId="77777777" w:rsidR="00494D82" w:rsidRPr="00B47F53" w:rsidRDefault="00494D82" w:rsidP="00F8167B">
            <w:pPr>
              <w:spacing w:after="0"/>
              <w:jc w:val="right"/>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22</w:t>
            </w:r>
          </w:p>
        </w:tc>
        <w:tc>
          <w:tcPr>
            <w:tcW w:w="5330" w:type="dxa"/>
            <w:tcBorders>
              <w:top w:val="single" w:sz="4" w:space="0" w:color="auto"/>
              <w:left w:val="nil"/>
              <w:bottom w:val="single" w:sz="8" w:space="0" w:color="000000"/>
              <w:right w:val="single" w:sz="8" w:space="0" w:color="000000"/>
            </w:tcBorders>
            <w:shd w:val="clear" w:color="auto" w:fill="auto"/>
            <w:vAlign w:val="center"/>
            <w:hideMark/>
          </w:tcPr>
          <w:p w14:paraId="7EB967F0" w14:textId="77777777" w:rsidR="00494D82" w:rsidRPr="00B47F53" w:rsidRDefault="00494D82" w:rsidP="00F8167B">
            <w:pPr>
              <w:spacing w:after="0"/>
              <w:jc w:val="both"/>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Noncumulative or cumulative</w:t>
            </w:r>
          </w:p>
        </w:tc>
        <w:tc>
          <w:tcPr>
            <w:tcW w:w="3212" w:type="dxa"/>
            <w:tcBorders>
              <w:top w:val="single" w:sz="4" w:space="0" w:color="auto"/>
              <w:left w:val="nil"/>
              <w:bottom w:val="single" w:sz="8" w:space="0" w:color="000000"/>
              <w:right w:val="single" w:sz="8" w:space="0" w:color="auto"/>
            </w:tcBorders>
            <w:shd w:val="clear" w:color="000000" w:fill="D9D9D9"/>
            <w:vAlign w:val="center"/>
            <w:hideMark/>
          </w:tcPr>
          <w:p w14:paraId="29D55D72"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 </w:t>
            </w:r>
          </w:p>
          <w:p w14:paraId="796EB09B" w14:textId="77777777" w:rsidR="00494D82" w:rsidRPr="00B47F53" w:rsidRDefault="00494D82" w:rsidP="00F8167B">
            <w:pPr>
              <w:rPr>
                <w:rFonts w:ascii="Times New Roman" w:eastAsia="Times New Roman" w:hAnsi="Times New Roman" w:cs="Times New Roman"/>
                <w:color w:val="000000"/>
                <w:sz w:val="20"/>
                <w:szCs w:val="20"/>
                <w:lang w:eastAsia="en-ZA"/>
              </w:rPr>
            </w:pPr>
            <w:r w:rsidRPr="00B47F53">
              <w:rPr>
                <w:rFonts w:ascii="Times New Roman" w:hAnsi="Times New Roman" w:cs="Times New Roman"/>
                <w:color w:val="000000"/>
                <w:sz w:val="20"/>
                <w:szCs w:val="20"/>
              </w:rPr>
              <w:t xml:space="preserve">Not Applicable </w:t>
            </w:r>
          </w:p>
        </w:tc>
      </w:tr>
      <w:tr w:rsidR="00494D82" w:rsidRPr="00B47F53" w14:paraId="78D846D6" w14:textId="77777777" w:rsidTr="007A7870">
        <w:trPr>
          <w:trHeight w:val="461"/>
        </w:trPr>
        <w:tc>
          <w:tcPr>
            <w:tcW w:w="625" w:type="dxa"/>
            <w:tcBorders>
              <w:top w:val="nil"/>
              <w:left w:val="single" w:sz="8" w:space="0" w:color="auto"/>
              <w:bottom w:val="single" w:sz="8" w:space="0" w:color="000000"/>
              <w:right w:val="single" w:sz="8" w:space="0" w:color="000000"/>
            </w:tcBorders>
            <w:shd w:val="clear" w:color="auto" w:fill="auto"/>
            <w:vAlign w:val="center"/>
            <w:hideMark/>
          </w:tcPr>
          <w:p w14:paraId="393C0410" w14:textId="77777777" w:rsidR="00494D82" w:rsidRPr="00B47F53" w:rsidRDefault="00494D82" w:rsidP="00F8167B">
            <w:pPr>
              <w:spacing w:after="0"/>
              <w:jc w:val="right"/>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23</w:t>
            </w:r>
          </w:p>
        </w:tc>
        <w:tc>
          <w:tcPr>
            <w:tcW w:w="5330" w:type="dxa"/>
            <w:tcBorders>
              <w:top w:val="nil"/>
              <w:left w:val="nil"/>
              <w:bottom w:val="single" w:sz="8" w:space="0" w:color="000000"/>
              <w:right w:val="single" w:sz="8" w:space="0" w:color="000000"/>
            </w:tcBorders>
            <w:shd w:val="clear" w:color="auto" w:fill="auto"/>
            <w:vAlign w:val="center"/>
            <w:hideMark/>
          </w:tcPr>
          <w:p w14:paraId="4E74A830" w14:textId="77777777" w:rsidR="00494D82" w:rsidRPr="00B47F53" w:rsidRDefault="00494D82" w:rsidP="00F8167B">
            <w:pPr>
              <w:spacing w:after="0"/>
              <w:jc w:val="both"/>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Convertible or non-convertible</w:t>
            </w:r>
          </w:p>
        </w:tc>
        <w:tc>
          <w:tcPr>
            <w:tcW w:w="3212" w:type="dxa"/>
            <w:tcBorders>
              <w:top w:val="nil"/>
              <w:left w:val="nil"/>
              <w:bottom w:val="single" w:sz="8" w:space="0" w:color="000000"/>
              <w:right w:val="single" w:sz="8" w:space="0" w:color="auto"/>
            </w:tcBorders>
            <w:shd w:val="clear" w:color="000000" w:fill="D9D9D9"/>
            <w:vAlign w:val="center"/>
            <w:hideMark/>
          </w:tcPr>
          <w:p w14:paraId="6C651320"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 </w:t>
            </w:r>
          </w:p>
          <w:p w14:paraId="7C9B9CB8" w14:textId="77777777" w:rsidR="00494D82" w:rsidRPr="00B47F53" w:rsidRDefault="00494D82" w:rsidP="00F8167B">
            <w:pPr>
              <w:rPr>
                <w:rFonts w:ascii="Times New Roman" w:eastAsia="Times New Roman" w:hAnsi="Times New Roman" w:cs="Times New Roman"/>
                <w:color w:val="000000"/>
                <w:sz w:val="20"/>
                <w:szCs w:val="20"/>
                <w:lang w:eastAsia="en-ZA"/>
              </w:rPr>
            </w:pPr>
            <w:r w:rsidRPr="00B47F53">
              <w:rPr>
                <w:rFonts w:ascii="Times New Roman" w:hAnsi="Times New Roman" w:cs="Times New Roman"/>
                <w:color w:val="000000"/>
                <w:sz w:val="20"/>
                <w:szCs w:val="20"/>
              </w:rPr>
              <w:t xml:space="preserve">Not Applicable </w:t>
            </w:r>
          </w:p>
        </w:tc>
      </w:tr>
      <w:tr w:rsidR="00494D82" w:rsidRPr="00B47F53" w14:paraId="658138C5" w14:textId="77777777" w:rsidTr="007A7870">
        <w:trPr>
          <w:trHeight w:val="604"/>
        </w:trPr>
        <w:tc>
          <w:tcPr>
            <w:tcW w:w="625" w:type="dxa"/>
            <w:tcBorders>
              <w:top w:val="nil"/>
              <w:left w:val="single" w:sz="8" w:space="0" w:color="auto"/>
              <w:bottom w:val="single" w:sz="8" w:space="0" w:color="000000"/>
              <w:right w:val="single" w:sz="8" w:space="0" w:color="000000"/>
            </w:tcBorders>
            <w:shd w:val="clear" w:color="auto" w:fill="auto"/>
            <w:vAlign w:val="center"/>
            <w:hideMark/>
          </w:tcPr>
          <w:p w14:paraId="1C2273A9" w14:textId="77777777" w:rsidR="00494D82" w:rsidRPr="00B47F53" w:rsidRDefault="00494D82" w:rsidP="00F8167B">
            <w:pPr>
              <w:spacing w:after="0"/>
              <w:jc w:val="right"/>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24</w:t>
            </w:r>
          </w:p>
        </w:tc>
        <w:tc>
          <w:tcPr>
            <w:tcW w:w="5330" w:type="dxa"/>
            <w:tcBorders>
              <w:top w:val="nil"/>
              <w:left w:val="nil"/>
              <w:bottom w:val="single" w:sz="8" w:space="0" w:color="000000"/>
              <w:right w:val="single" w:sz="8" w:space="0" w:color="000000"/>
            </w:tcBorders>
            <w:shd w:val="clear" w:color="auto" w:fill="auto"/>
            <w:vAlign w:val="center"/>
            <w:hideMark/>
          </w:tcPr>
          <w:p w14:paraId="70BBCDDE" w14:textId="77777777" w:rsidR="00494D82" w:rsidRPr="00B47F53" w:rsidRDefault="00494D82" w:rsidP="00F8167B">
            <w:pPr>
              <w:spacing w:after="0"/>
              <w:jc w:val="both"/>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If convertible conversion trigger (s)</w:t>
            </w:r>
          </w:p>
        </w:tc>
        <w:tc>
          <w:tcPr>
            <w:tcW w:w="3212" w:type="dxa"/>
            <w:tcBorders>
              <w:top w:val="nil"/>
              <w:left w:val="nil"/>
              <w:bottom w:val="single" w:sz="8" w:space="0" w:color="000000"/>
              <w:right w:val="single" w:sz="8" w:space="0" w:color="auto"/>
            </w:tcBorders>
            <w:shd w:val="clear" w:color="000000" w:fill="D9D9D9"/>
            <w:vAlign w:val="center"/>
            <w:hideMark/>
          </w:tcPr>
          <w:p w14:paraId="6FD5B5AE"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 </w:t>
            </w:r>
          </w:p>
          <w:p w14:paraId="74A7D41C" w14:textId="77777777" w:rsidR="00494D82" w:rsidRPr="00B47F53" w:rsidRDefault="00494D82" w:rsidP="00F8167B">
            <w:pPr>
              <w:rPr>
                <w:rFonts w:ascii="Times New Roman" w:eastAsia="Times New Roman" w:hAnsi="Times New Roman" w:cs="Times New Roman"/>
                <w:color w:val="000000"/>
                <w:sz w:val="20"/>
                <w:szCs w:val="20"/>
                <w:lang w:eastAsia="en-ZA"/>
              </w:rPr>
            </w:pPr>
            <w:r w:rsidRPr="00B47F53">
              <w:rPr>
                <w:rFonts w:ascii="Times New Roman" w:hAnsi="Times New Roman" w:cs="Times New Roman"/>
                <w:color w:val="000000"/>
                <w:sz w:val="20"/>
                <w:szCs w:val="20"/>
              </w:rPr>
              <w:t xml:space="preserve">Not Applicable </w:t>
            </w:r>
          </w:p>
        </w:tc>
      </w:tr>
      <w:tr w:rsidR="00494D82" w:rsidRPr="00B47F53" w14:paraId="22930042" w14:textId="77777777" w:rsidTr="007A7870">
        <w:trPr>
          <w:trHeight w:val="500"/>
        </w:trPr>
        <w:tc>
          <w:tcPr>
            <w:tcW w:w="625" w:type="dxa"/>
            <w:tcBorders>
              <w:top w:val="nil"/>
              <w:left w:val="single" w:sz="8" w:space="0" w:color="auto"/>
              <w:bottom w:val="single" w:sz="8" w:space="0" w:color="000000"/>
              <w:right w:val="single" w:sz="8" w:space="0" w:color="000000"/>
            </w:tcBorders>
            <w:shd w:val="clear" w:color="auto" w:fill="auto"/>
            <w:vAlign w:val="center"/>
            <w:hideMark/>
          </w:tcPr>
          <w:p w14:paraId="296BCE7C" w14:textId="77777777" w:rsidR="00494D82" w:rsidRPr="00B47F53" w:rsidRDefault="00494D82" w:rsidP="00F8167B">
            <w:pPr>
              <w:spacing w:after="0"/>
              <w:jc w:val="right"/>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25</w:t>
            </w:r>
          </w:p>
        </w:tc>
        <w:tc>
          <w:tcPr>
            <w:tcW w:w="5330" w:type="dxa"/>
            <w:tcBorders>
              <w:top w:val="nil"/>
              <w:left w:val="nil"/>
              <w:bottom w:val="single" w:sz="8" w:space="0" w:color="000000"/>
              <w:right w:val="single" w:sz="8" w:space="0" w:color="000000"/>
            </w:tcBorders>
            <w:shd w:val="clear" w:color="auto" w:fill="auto"/>
            <w:vAlign w:val="center"/>
            <w:hideMark/>
          </w:tcPr>
          <w:p w14:paraId="27DD3A9F" w14:textId="339FAE2E" w:rsidR="00494D82" w:rsidRPr="00B47F53" w:rsidRDefault="00494D82" w:rsidP="00F8167B">
            <w:pPr>
              <w:spacing w:after="0"/>
              <w:jc w:val="both"/>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 xml:space="preserve">If convertible fully </w:t>
            </w:r>
            <w:r w:rsidR="00F3365A" w:rsidRPr="00B47F53">
              <w:rPr>
                <w:rFonts w:ascii="Times New Roman" w:eastAsia="Times New Roman" w:hAnsi="Times New Roman" w:cs="Times New Roman"/>
                <w:color w:val="000000"/>
                <w:sz w:val="20"/>
                <w:szCs w:val="20"/>
                <w:lang w:eastAsia="en-ZA"/>
              </w:rPr>
              <w:t>or partially</w:t>
            </w:r>
          </w:p>
        </w:tc>
        <w:tc>
          <w:tcPr>
            <w:tcW w:w="3212" w:type="dxa"/>
            <w:tcBorders>
              <w:top w:val="nil"/>
              <w:left w:val="nil"/>
              <w:bottom w:val="single" w:sz="8" w:space="0" w:color="000000"/>
              <w:right w:val="single" w:sz="8" w:space="0" w:color="auto"/>
            </w:tcBorders>
            <w:shd w:val="clear" w:color="000000" w:fill="D9D9D9"/>
            <w:vAlign w:val="center"/>
            <w:hideMark/>
          </w:tcPr>
          <w:p w14:paraId="6D1EBBDA"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 </w:t>
            </w:r>
          </w:p>
          <w:p w14:paraId="4F198F15" w14:textId="77777777" w:rsidR="00494D82" w:rsidRPr="00B47F53" w:rsidRDefault="00494D82" w:rsidP="00F8167B">
            <w:pPr>
              <w:rPr>
                <w:rFonts w:ascii="Times New Roman" w:eastAsia="Times New Roman" w:hAnsi="Times New Roman" w:cs="Times New Roman"/>
                <w:color w:val="000000"/>
                <w:sz w:val="20"/>
                <w:szCs w:val="20"/>
                <w:lang w:eastAsia="en-ZA"/>
              </w:rPr>
            </w:pPr>
            <w:r w:rsidRPr="00B47F53">
              <w:rPr>
                <w:rFonts w:ascii="Times New Roman" w:hAnsi="Times New Roman" w:cs="Times New Roman"/>
                <w:color w:val="000000"/>
                <w:sz w:val="20"/>
                <w:szCs w:val="20"/>
              </w:rPr>
              <w:t xml:space="preserve">Not Applicable </w:t>
            </w:r>
          </w:p>
        </w:tc>
      </w:tr>
      <w:tr w:rsidR="00494D82" w:rsidRPr="00B47F53" w14:paraId="06CFEEA6" w14:textId="77777777" w:rsidTr="007A7870">
        <w:trPr>
          <w:trHeight w:val="346"/>
        </w:trPr>
        <w:tc>
          <w:tcPr>
            <w:tcW w:w="625" w:type="dxa"/>
            <w:tcBorders>
              <w:top w:val="nil"/>
              <w:left w:val="single" w:sz="8" w:space="0" w:color="auto"/>
              <w:bottom w:val="single" w:sz="8" w:space="0" w:color="000000"/>
              <w:right w:val="single" w:sz="8" w:space="0" w:color="000000"/>
            </w:tcBorders>
            <w:shd w:val="clear" w:color="auto" w:fill="auto"/>
            <w:vAlign w:val="center"/>
            <w:hideMark/>
          </w:tcPr>
          <w:p w14:paraId="7C7D9F77" w14:textId="77777777" w:rsidR="00494D82" w:rsidRPr="00B47F53" w:rsidRDefault="00494D82" w:rsidP="00F8167B">
            <w:pPr>
              <w:spacing w:after="0"/>
              <w:jc w:val="right"/>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26</w:t>
            </w:r>
          </w:p>
        </w:tc>
        <w:tc>
          <w:tcPr>
            <w:tcW w:w="5330" w:type="dxa"/>
            <w:tcBorders>
              <w:top w:val="nil"/>
              <w:left w:val="nil"/>
              <w:bottom w:val="single" w:sz="8" w:space="0" w:color="000000"/>
              <w:right w:val="single" w:sz="8" w:space="0" w:color="000000"/>
            </w:tcBorders>
            <w:shd w:val="clear" w:color="auto" w:fill="auto"/>
            <w:vAlign w:val="center"/>
            <w:hideMark/>
          </w:tcPr>
          <w:p w14:paraId="7A5BA0F9" w14:textId="77777777" w:rsidR="00494D82" w:rsidRPr="00B47F53" w:rsidRDefault="00494D82" w:rsidP="00F8167B">
            <w:pPr>
              <w:spacing w:after="0"/>
              <w:jc w:val="both"/>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If convertible conversion rate</w:t>
            </w:r>
          </w:p>
        </w:tc>
        <w:tc>
          <w:tcPr>
            <w:tcW w:w="3212" w:type="dxa"/>
            <w:tcBorders>
              <w:top w:val="nil"/>
              <w:left w:val="nil"/>
              <w:bottom w:val="single" w:sz="8" w:space="0" w:color="000000"/>
              <w:right w:val="single" w:sz="8" w:space="0" w:color="auto"/>
            </w:tcBorders>
            <w:shd w:val="clear" w:color="000000" w:fill="D9D9D9"/>
            <w:vAlign w:val="center"/>
            <w:hideMark/>
          </w:tcPr>
          <w:p w14:paraId="283B5D54"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 </w:t>
            </w:r>
          </w:p>
          <w:p w14:paraId="08783683" w14:textId="77777777" w:rsidR="00494D82" w:rsidRPr="00B47F53" w:rsidRDefault="00494D82" w:rsidP="00F8167B">
            <w:pPr>
              <w:rPr>
                <w:rFonts w:ascii="Times New Roman" w:eastAsia="Times New Roman" w:hAnsi="Times New Roman" w:cs="Times New Roman"/>
                <w:color w:val="000000"/>
                <w:sz w:val="20"/>
                <w:szCs w:val="20"/>
                <w:lang w:eastAsia="en-ZA"/>
              </w:rPr>
            </w:pPr>
            <w:r w:rsidRPr="00B47F53">
              <w:rPr>
                <w:rFonts w:ascii="Times New Roman" w:hAnsi="Times New Roman" w:cs="Times New Roman"/>
                <w:color w:val="000000"/>
                <w:sz w:val="20"/>
                <w:szCs w:val="20"/>
              </w:rPr>
              <w:t xml:space="preserve">Not Applicable </w:t>
            </w:r>
          </w:p>
        </w:tc>
      </w:tr>
      <w:tr w:rsidR="00494D82" w:rsidRPr="00B47F53" w14:paraId="15ECBFEB" w14:textId="77777777" w:rsidTr="007A7870">
        <w:trPr>
          <w:trHeight w:val="346"/>
        </w:trPr>
        <w:tc>
          <w:tcPr>
            <w:tcW w:w="625" w:type="dxa"/>
            <w:tcBorders>
              <w:top w:val="nil"/>
              <w:left w:val="single" w:sz="8" w:space="0" w:color="auto"/>
              <w:bottom w:val="single" w:sz="4" w:space="0" w:color="auto"/>
              <w:right w:val="single" w:sz="8" w:space="0" w:color="000000"/>
            </w:tcBorders>
            <w:shd w:val="clear" w:color="auto" w:fill="auto"/>
            <w:vAlign w:val="center"/>
            <w:hideMark/>
          </w:tcPr>
          <w:p w14:paraId="72030C7A" w14:textId="77777777" w:rsidR="00494D82" w:rsidRPr="00B47F53" w:rsidRDefault="00494D82" w:rsidP="00F8167B">
            <w:pPr>
              <w:spacing w:after="0"/>
              <w:jc w:val="right"/>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27</w:t>
            </w:r>
          </w:p>
        </w:tc>
        <w:tc>
          <w:tcPr>
            <w:tcW w:w="5330" w:type="dxa"/>
            <w:tcBorders>
              <w:top w:val="nil"/>
              <w:left w:val="nil"/>
              <w:bottom w:val="single" w:sz="4" w:space="0" w:color="auto"/>
              <w:right w:val="single" w:sz="8" w:space="0" w:color="000000"/>
            </w:tcBorders>
            <w:shd w:val="clear" w:color="auto" w:fill="auto"/>
            <w:vAlign w:val="center"/>
            <w:hideMark/>
          </w:tcPr>
          <w:p w14:paraId="7A028AAB" w14:textId="77777777" w:rsidR="00494D82" w:rsidRPr="00B47F53" w:rsidRDefault="00494D82" w:rsidP="00F8167B">
            <w:pPr>
              <w:spacing w:after="0"/>
              <w:jc w:val="both"/>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If convertible mandatory or optional conversion</w:t>
            </w:r>
          </w:p>
        </w:tc>
        <w:tc>
          <w:tcPr>
            <w:tcW w:w="3212" w:type="dxa"/>
            <w:tcBorders>
              <w:top w:val="nil"/>
              <w:left w:val="nil"/>
              <w:bottom w:val="single" w:sz="4" w:space="0" w:color="auto"/>
              <w:right w:val="single" w:sz="8" w:space="0" w:color="auto"/>
            </w:tcBorders>
            <w:shd w:val="clear" w:color="000000" w:fill="D9D9D9"/>
            <w:vAlign w:val="center"/>
            <w:hideMark/>
          </w:tcPr>
          <w:p w14:paraId="4E8EC71E"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 </w:t>
            </w:r>
          </w:p>
          <w:p w14:paraId="5679B39F" w14:textId="77777777" w:rsidR="00494D82" w:rsidRPr="00B47F53" w:rsidRDefault="00494D82" w:rsidP="00F8167B">
            <w:pPr>
              <w:rPr>
                <w:rFonts w:ascii="Times New Roman" w:eastAsia="Times New Roman" w:hAnsi="Times New Roman" w:cs="Times New Roman"/>
                <w:color w:val="000000"/>
                <w:sz w:val="20"/>
                <w:szCs w:val="20"/>
                <w:lang w:eastAsia="en-ZA"/>
              </w:rPr>
            </w:pPr>
            <w:r w:rsidRPr="00B47F53">
              <w:rPr>
                <w:rFonts w:ascii="Times New Roman" w:hAnsi="Times New Roman" w:cs="Times New Roman"/>
                <w:color w:val="000000"/>
                <w:sz w:val="20"/>
                <w:szCs w:val="20"/>
              </w:rPr>
              <w:t xml:space="preserve">Not Applicable </w:t>
            </w:r>
          </w:p>
        </w:tc>
      </w:tr>
      <w:tr w:rsidR="00494D82" w:rsidRPr="00B47F53" w14:paraId="0D1DB673" w14:textId="77777777" w:rsidTr="007A7870">
        <w:trPr>
          <w:trHeight w:val="573"/>
        </w:trPr>
        <w:tc>
          <w:tcPr>
            <w:tcW w:w="625" w:type="dxa"/>
            <w:tcBorders>
              <w:top w:val="single" w:sz="4" w:space="0" w:color="auto"/>
              <w:left w:val="single" w:sz="8" w:space="0" w:color="auto"/>
              <w:bottom w:val="single" w:sz="2" w:space="0" w:color="000000"/>
              <w:right w:val="single" w:sz="8" w:space="0" w:color="000000"/>
            </w:tcBorders>
            <w:shd w:val="clear" w:color="auto" w:fill="auto"/>
            <w:vAlign w:val="center"/>
            <w:hideMark/>
          </w:tcPr>
          <w:p w14:paraId="368B5617" w14:textId="77777777" w:rsidR="00494D82" w:rsidRPr="00B47F53" w:rsidRDefault="00494D82" w:rsidP="00F8167B">
            <w:pPr>
              <w:spacing w:after="0"/>
              <w:jc w:val="right"/>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28</w:t>
            </w:r>
          </w:p>
        </w:tc>
        <w:tc>
          <w:tcPr>
            <w:tcW w:w="5330" w:type="dxa"/>
            <w:tcBorders>
              <w:top w:val="single" w:sz="4" w:space="0" w:color="auto"/>
              <w:left w:val="nil"/>
              <w:bottom w:val="single" w:sz="2" w:space="0" w:color="000000"/>
              <w:right w:val="single" w:sz="8" w:space="0" w:color="000000"/>
            </w:tcBorders>
            <w:shd w:val="clear" w:color="auto" w:fill="auto"/>
            <w:vAlign w:val="center"/>
            <w:hideMark/>
          </w:tcPr>
          <w:p w14:paraId="1A728148" w14:textId="77777777" w:rsidR="00494D82" w:rsidRPr="00B47F53" w:rsidRDefault="00494D82" w:rsidP="00F8167B">
            <w:pPr>
              <w:spacing w:after="0"/>
              <w:jc w:val="both"/>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If convertible specify instrument type convertible into</w:t>
            </w:r>
          </w:p>
        </w:tc>
        <w:tc>
          <w:tcPr>
            <w:tcW w:w="3212" w:type="dxa"/>
            <w:tcBorders>
              <w:top w:val="single" w:sz="4" w:space="0" w:color="auto"/>
              <w:left w:val="nil"/>
              <w:bottom w:val="single" w:sz="2" w:space="0" w:color="000000"/>
              <w:right w:val="single" w:sz="8" w:space="0" w:color="auto"/>
            </w:tcBorders>
            <w:shd w:val="clear" w:color="000000" w:fill="D9D9D9"/>
            <w:vAlign w:val="center"/>
            <w:hideMark/>
          </w:tcPr>
          <w:p w14:paraId="35D6613A"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 </w:t>
            </w:r>
          </w:p>
          <w:p w14:paraId="7C5CBF24" w14:textId="77777777" w:rsidR="00494D82" w:rsidRPr="00B47F53" w:rsidRDefault="00494D82" w:rsidP="00F8167B">
            <w:pPr>
              <w:rPr>
                <w:rFonts w:ascii="Times New Roman" w:eastAsia="Times New Roman" w:hAnsi="Times New Roman" w:cs="Times New Roman"/>
                <w:color w:val="000000"/>
                <w:sz w:val="20"/>
                <w:szCs w:val="20"/>
                <w:lang w:eastAsia="en-ZA"/>
              </w:rPr>
            </w:pPr>
            <w:r w:rsidRPr="00B47F53">
              <w:rPr>
                <w:rFonts w:ascii="Times New Roman" w:hAnsi="Times New Roman" w:cs="Times New Roman"/>
                <w:color w:val="000000"/>
                <w:sz w:val="20"/>
                <w:szCs w:val="20"/>
              </w:rPr>
              <w:t xml:space="preserve">Not Applicable </w:t>
            </w:r>
          </w:p>
        </w:tc>
      </w:tr>
      <w:tr w:rsidR="00494D82" w:rsidRPr="00B47F53" w14:paraId="0184C32C" w14:textId="77777777" w:rsidTr="007A7870">
        <w:trPr>
          <w:trHeight w:val="621"/>
        </w:trPr>
        <w:tc>
          <w:tcPr>
            <w:tcW w:w="625" w:type="dxa"/>
            <w:tcBorders>
              <w:top w:val="single" w:sz="2" w:space="0" w:color="000000"/>
              <w:left w:val="single" w:sz="8" w:space="0" w:color="auto"/>
              <w:bottom w:val="single" w:sz="8" w:space="0" w:color="000000"/>
              <w:right w:val="single" w:sz="8" w:space="0" w:color="000000"/>
            </w:tcBorders>
            <w:shd w:val="clear" w:color="auto" w:fill="auto"/>
            <w:vAlign w:val="center"/>
            <w:hideMark/>
          </w:tcPr>
          <w:p w14:paraId="47ED22AF" w14:textId="77777777" w:rsidR="00494D82" w:rsidRPr="00B47F53" w:rsidRDefault="00494D82" w:rsidP="00F8167B">
            <w:pPr>
              <w:spacing w:after="0"/>
              <w:jc w:val="right"/>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29</w:t>
            </w:r>
          </w:p>
        </w:tc>
        <w:tc>
          <w:tcPr>
            <w:tcW w:w="5330" w:type="dxa"/>
            <w:tcBorders>
              <w:top w:val="single" w:sz="2" w:space="0" w:color="000000"/>
              <w:left w:val="nil"/>
              <w:bottom w:val="single" w:sz="8" w:space="0" w:color="000000"/>
              <w:right w:val="single" w:sz="8" w:space="0" w:color="000000"/>
            </w:tcBorders>
            <w:shd w:val="clear" w:color="auto" w:fill="auto"/>
            <w:vAlign w:val="center"/>
            <w:hideMark/>
          </w:tcPr>
          <w:p w14:paraId="6F58634C" w14:textId="77777777" w:rsidR="00494D82" w:rsidRPr="00B47F53" w:rsidRDefault="00494D82" w:rsidP="00F8167B">
            <w:pPr>
              <w:spacing w:after="0"/>
              <w:jc w:val="both"/>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If convertible specify issuer of instrument it converts into</w:t>
            </w:r>
          </w:p>
        </w:tc>
        <w:tc>
          <w:tcPr>
            <w:tcW w:w="3212" w:type="dxa"/>
            <w:tcBorders>
              <w:top w:val="single" w:sz="2" w:space="0" w:color="000000"/>
              <w:left w:val="nil"/>
              <w:bottom w:val="single" w:sz="8" w:space="0" w:color="000000"/>
              <w:right w:val="single" w:sz="8" w:space="0" w:color="auto"/>
            </w:tcBorders>
            <w:shd w:val="clear" w:color="000000" w:fill="D9D9D9"/>
            <w:vAlign w:val="center"/>
            <w:hideMark/>
          </w:tcPr>
          <w:p w14:paraId="2CE63EA4"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 </w:t>
            </w:r>
          </w:p>
          <w:p w14:paraId="17FDDFF0" w14:textId="77777777" w:rsidR="00494D82" w:rsidRPr="00B47F53" w:rsidRDefault="00494D82" w:rsidP="00F8167B">
            <w:pPr>
              <w:rPr>
                <w:rFonts w:ascii="Times New Roman" w:eastAsia="Times New Roman" w:hAnsi="Times New Roman" w:cs="Times New Roman"/>
                <w:color w:val="000000"/>
                <w:sz w:val="20"/>
                <w:szCs w:val="20"/>
                <w:lang w:eastAsia="en-ZA"/>
              </w:rPr>
            </w:pPr>
            <w:r w:rsidRPr="00B47F53">
              <w:rPr>
                <w:rFonts w:ascii="Times New Roman" w:hAnsi="Times New Roman" w:cs="Times New Roman"/>
                <w:color w:val="000000"/>
                <w:sz w:val="20"/>
                <w:szCs w:val="20"/>
              </w:rPr>
              <w:t xml:space="preserve">Not Applicable </w:t>
            </w:r>
          </w:p>
        </w:tc>
      </w:tr>
      <w:tr w:rsidR="00494D82" w:rsidRPr="00B47F53" w14:paraId="7AFFDECE" w14:textId="77777777" w:rsidTr="007A7870">
        <w:trPr>
          <w:trHeight w:val="255"/>
        </w:trPr>
        <w:tc>
          <w:tcPr>
            <w:tcW w:w="625" w:type="dxa"/>
            <w:tcBorders>
              <w:top w:val="nil"/>
              <w:left w:val="single" w:sz="8" w:space="0" w:color="auto"/>
              <w:bottom w:val="single" w:sz="2" w:space="0" w:color="000000"/>
              <w:right w:val="single" w:sz="8" w:space="0" w:color="000000"/>
            </w:tcBorders>
            <w:shd w:val="clear" w:color="auto" w:fill="auto"/>
            <w:vAlign w:val="center"/>
            <w:hideMark/>
          </w:tcPr>
          <w:p w14:paraId="5D401F50"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30</w:t>
            </w:r>
          </w:p>
        </w:tc>
        <w:tc>
          <w:tcPr>
            <w:tcW w:w="5330" w:type="dxa"/>
            <w:tcBorders>
              <w:top w:val="nil"/>
              <w:left w:val="nil"/>
              <w:bottom w:val="single" w:sz="2" w:space="0" w:color="000000"/>
              <w:right w:val="single" w:sz="8" w:space="0" w:color="000000"/>
            </w:tcBorders>
            <w:shd w:val="clear" w:color="auto" w:fill="auto"/>
            <w:vAlign w:val="center"/>
            <w:hideMark/>
          </w:tcPr>
          <w:p w14:paraId="7FFE1FF8" w14:textId="77777777" w:rsidR="00494D82" w:rsidRPr="00B47F53" w:rsidRDefault="00494D82" w:rsidP="00F8167B">
            <w:pPr>
              <w:spacing w:after="0"/>
              <w:jc w:val="both"/>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Write-down feature</w:t>
            </w:r>
          </w:p>
        </w:tc>
        <w:tc>
          <w:tcPr>
            <w:tcW w:w="3212" w:type="dxa"/>
            <w:tcBorders>
              <w:top w:val="nil"/>
              <w:left w:val="nil"/>
              <w:bottom w:val="single" w:sz="2" w:space="0" w:color="000000"/>
              <w:right w:val="single" w:sz="8" w:space="0" w:color="auto"/>
            </w:tcBorders>
            <w:shd w:val="clear" w:color="000000" w:fill="D9D9D9"/>
            <w:vAlign w:val="center"/>
            <w:hideMark/>
          </w:tcPr>
          <w:p w14:paraId="29CEBB9A" w14:textId="6335ED85" w:rsidR="00494D82" w:rsidRPr="00B47F53" w:rsidRDefault="00494D82" w:rsidP="007A7870">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 </w:t>
            </w:r>
            <w:r w:rsidRPr="00B47F53">
              <w:rPr>
                <w:rFonts w:ascii="Times New Roman" w:hAnsi="Times New Roman" w:cs="Times New Roman"/>
                <w:color w:val="000000"/>
                <w:sz w:val="20"/>
                <w:szCs w:val="20"/>
              </w:rPr>
              <w:t xml:space="preserve">Not Applicable </w:t>
            </w:r>
          </w:p>
        </w:tc>
      </w:tr>
      <w:tr w:rsidR="00494D82" w:rsidRPr="00B47F53" w14:paraId="621255C3" w14:textId="77777777" w:rsidTr="007A7870">
        <w:trPr>
          <w:trHeight w:val="454"/>
        </w:trPr>
        <w:tc>
          <w:tcPr>
            <w:tcW w:w="625" w:type="dxa"/>
            <w:tcBorders>
              <w:top w:val="single" w:sz="2" w:space="0" w:color="000000"/>
              <w:left w:val="single" w:sz="8" w:space="0" w:color="auto"/>
              <w:bottom w:val="single" w:sz="8" w:space="0" w:color="000000"/>
              <w:right w:val="single" w:sz="8" w:space="0" w:color="000000"/>
            </w:tcBorders>
            <w:shd w:val="clear" w:color="auto" w:fill="auto"/>
            <w:vAlign w:val="center"/>
            <w:hideMark/>
          </w:tcPr>
          <w:p w14:paraId="45137933"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31</w:t>
            </w:r>
          </w:p>
        </w:tc>
        <w:tc>
          <w:tcPr>
            <w:tcW w:w="5330" w:type="dxa"/>
            <w:tcBorders>
              <w:top w:val="single" w:sz="2" w:space="0" w:color="000000"/>
              <w:left w:val="nil"/>
              <w:bottom w:val="single" w:sz="8" w:space="0" w:color="000000"/>
              <w:right w:val="single" w:sz="8" w:space="0" w:color="000000"/>
            </w:tcBorders>
            <w:shd w:val="clear" w:color="auto" w:fill="auto"/>
            <w:vAlign w:val="center"/>
            <w:hideMark/>
          </w:tcPr>
          <w:p w14:paraId="171D76D1" w14:textId="77777777" w:rsidR="00494D82" w:rsidRPr="00B47F53" w:rsidRDefault="00494D82" w:rsidP="00BE0DB8">
            <w:pPr>
              <w:spacing w:after="0"/>
              <w:jc w:val="both"/>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If write-down trigger(s)</w:t>
            </w:r>
          </w:p>
        </w:tc>
        <w:tc>
          <w:tcPr>
            <w:tcW w:w="3212" w:type="dxa"/>
            <w:tcBorders>
              <w:top w:val="single" w:sz="2" w:space="0" w:color="000000"/>
              <w:left w:val="nil"/>
              <w:bottom w:val="single" w:sz="8" w:space="0" w:color="000000"/>
              <w:right w:val="single" w:sz="8" w:space="0" w:color="auto"/>
            </w:tcBorders>
            <w:shd w:val="clear" w:color="000000" w:fill="D9D9D9"/>
            <w:vAlign w:val="center"/>
            <w:hideMark/>
          </w:tcPr>
          <w:p w14:paraId="6063E8DF"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 </w:t>
            </w:r>
          </w:p>
          <w:p w14:paraId="73E98EA5" w14:textId="77777777" w:rsidR="00494D82" w:rsidRPr="00B47F53" w:rsidRDefault="00494D82" w:rsidP="00F8167B">
            <w:pPr>
              <w:rPr>
                <w:rFonts w:ascii="Times New Roman" w:eastAsia="Times New Roman" w:hAnsi="Times New Roman" w:cs="Times New Roman"/>
                <w:color w:val="000000"/>
                <w:sz w:val="20"/>
                <w:szCs w:val="20"/>
                <w:lang w:eastAsia="en-ZA"/>
              </w:rPr>
            </w:pPr>
            <w:r w:rsidRPr="00B47F53">
              <w:rPr>
                <w:rFonts w:ascii="Times New Roman" w:hAnsi="Times New Roman" w:cs="Times New Roman"/>
                <w:color w:val="000000"/>
                <w:sz w:val="20"/>
                <w:szCs w:val="20"/>
              </w:rPr>
              <w:t xml:space="preserve">Not Applicable </w:t>
            </w:r>
          </w:p>
        </w:tc>
      </w:tr>
      <w:tr w:rsidR="00494D82" w:rsidRPr="00B47F53" w14:paraId="19156FC3" w14:textId="77777777" w:rsidTr="007A7870">
        <w:trPr>
          <w:trHeight w:val="395"/>
        </w:trPr>
        <w:tc>
          <w:tcPr>
            <w:tcW w:w="625" w:type="dxa"/>
            <w:tcBorders>
              <w:top w:val="nil"/>
              <w:left w:val="single" w:sz="8" w:space="0" w:color="auto"/>
              <w:bottom w:val="single" w:sz="8" w:space="0" w:color="000000"/>
              <w:right w:val="single" w:sz="8" w:space="0" w:color="000000"/>
            </w:tcBorders>
            <w:shd w:val="clear" w:color="auto" w:fill="auto"/>
            <w:vAlign w:val="center"/>
            <w:hideMark/>
          </w:tcPr>
          <w:p w14:paraId="74710390"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lastRenderedPageBreak/>
              <w:t>32</w:t>
            </w:r>
          </w:p>
        </w:tc>
        <w:tc>
          <w:tcPr>
            <w:tcW w:w="5330" w:type="dxa"/>
            <w:tcBorders>
              <w:top w:val="nil"/>
              <w:left w:val="nil"/>
              <w:bottom w:val="single" w:sz="8" w:space="0" w:color="000000"/>
              <w:right w:val="single" w:sz="8" w:space="0" w:color="000000"/>
            </w:tcBorders>
            <w:shd w:val="clear" w:color="auto" w:fill="auto"/>
            <w:vAlign w:val="center"/>
            <w:hideMark/>
          </w:tcPr>
          <w:p w14:paraId="2EA29078" w14:textId="77777777" w:rsidR="00494D82" w:rsidRPr="00B47F53" w:rsidRDefault="00494D82" w:rsidP="00F8167B">
            <w:pPr>
              <w:spacing w:after="0"/>
              <w:jc w:val="both"/>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If write-down full or partial</w:t>
            </w:r>
          </w:p>
        </w:tc>
        <w:tc>
          <w:tcPr>
            <w:tcW w:w="3212" w:type="dxa"/>
            <w:tcBorders>
              <w:top w:val="nil"/>
              <w:left w:val="nil"/>
              <w:bottom w:val="single" w:sz="4" w:space="0" w:color="auto"/>
              <w:right w:val="single" w:sz="8" w:space="0" w:color="auto"/>
            </w:tcBorders>
            <w:shd w:val="clear" w:color="000000" w:fill="D9D9D9"/>
            <w:vAlign w:val="center"/>
            <w:hideMark/>
          </w:tcPr>
          <w:p w14:paraId="2D8D0777"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 </w:t>
            </w:r>
          </w:p>
          <w:p w14:paraId="166418BB" w14:textId="77777777" w:rsidR="00494D82" w:rsidRPr="00B47F53" w:rsidRDefault="00494D82" w:rsidP="00F8167B">
            <w:pPr>
              <w:rPr>
                <w:rFonts w:ascii="Times New Roman" w:eastAsia="Times New Roman" w:hAnsi="Times New Roman" w:cs="Times New Roman"/>
                <w:color w:val="000000"/>
                <w:sz w:val="20"/>
                <w:szCs w:val="20"/>
                <w:lang w:eastAsia="en-ZA"/>
              </w:rPr>
            </w:pPr>
            <w:r w:rsidRPr="00B47F53">
              <w:rPr>
                <w:rFonts w:ascii="Times New Roman" w:hAnsi="Times New Roman" w:cs="Times New Roman"/>
                <w:color w:val="000000"/>
                <w:sz w:val="20"/>
                <w:szCs w:val="20"/>
              </w:rPr>
              <w:t xml:space="preserve">Not Applicable </w:t>
            </w:r>
          </w:p>
        </w:tc>
      </w:tr>
      <w:tr w:rsidR="00494D82" w:rsidRPr="00B47F53" w14:paraId="5B134F45" w14:textId="77777777" w:rsidTr="007A7870">
        <w:trPr>
          <w:trHeight w:val="470"/>
        </w:trPr>
        <w:tc>
          <w:tcPr>
            <w:tcW w:w="625" w:type="dxa"/>
            <w:tcBorders>
              <w:top w:val="nil"/>
              <w:left w:val="single" w:sz="8" w:space="0" w:color="auto"/>
              <w:bottom w:val="single" w:sz="8" w:space="0" w:color="000000"/>
              <w:right w:val="single" w:sz="8" w:space="0" w:color="000000"/>
            </w:tcBorders>
            <w:shd w:val="clear" w:color="auto" w:fill="auto"/>
            <w:vAlign w:val="center"/>
            <w:hideMark/>
          </w:tcPr>
          <w:p w14:paraId="666D5DA9"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33</w:t>
            </w:r>
          </w:p>
        </w:tc>
        <w:tc>
          <w:tcPr>
            <w:tcW w:w="5330" w:type="dxa"/>
            <w:tcBorders>
              <w:top w:val="nil"/>
              <w:left w:val="nil"/>
              <w:bottom w:val="single" w:sz="8" w:space="0" w:color="000000"/>
              <w:right w:val="single" w:sz="8" w:space="0" w:color="000000"/>
            </w:tcBorders>
            <w:shd w:val="clear" w:color="auto" w:fill="auto"/>
            <w:vAlign w:val="center"/>
            <w:hideMark/>
          </w:tcPr>
          <w:p w14:paraId="0CAF03B9" w14:textId="77777777" w:rsidR="00494D82" w:rsidRPr="00B47F53" w:rsidRDefault="00494D82" w:rsidP="00F8167B">
            <w:pPr>
              <w:spacing w:after="0"/>
              <w:jc w:val="both"/>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If write-down permanent or temporary</w:t>
            </w:r>
          </w:p>
        </w:tc>
        <w:tc>
          <w:tcPr>
            <w:tcW w:w="3212" w:type="dxa"/>
            <w:tcBorders>
              <w:top w:val="single" w:sz="4" w:space="0" w:color="auto"/>
              <w:left w:val="nil"/>
              <w:bottom w:val="single" w:sz="8" w:space="0" w:color="000000"/>
              <w:right w:val="single" w:sz="8" w:space="0" w:color="auto"/>
            </w:tcBorders>
            <w:shd w:val="clear" w:color="000000" w:fill="D9D9D9"/>
            <w:vAlign w:val="center"/>
            <w:hideMark/>
          </w:tcPr>
          <w:p w14:paraId="312E9631"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 </w:t>
            </w:r>
          </w:p>
          <w:p w14:paraId="6344A24D" w14:textId="77777777" w:rsidR="00494D82" w:rsidRPr="00B47F53" w:rsidRDefault="00494D82" w:rsidP="00C639CF">
            <w:pPr>
              <w:rPr>
                <w:rFonts w:ascii="Times New Roman" w:eastAsia="Times New Roman" w:hAnsi="Times New Roman" w:cs="Times New Roman"/>
                <w:color w:val="000000"/>
                <w:sz w:val="20"/>
                <w:szCs w:val="20"/>
                <w:lang w:eastAsia="en-ZA"/>
              </w:rPr>
            </w:pPr>
            <w:r w:rsidRPr="00B47F53">
              <w:rPr>
                <w:rFonts w:ascii="Times New Roman" w:hAnsi="Times New Roman" w:cs="Times New Roman"/>
                <w:color w:val="000000"/>
                <w:sz w:val="20"/>
                <w:szCs w:val="20"/>
              </w:rPr>
              <w:t xml:space="preserve">Not Applicable </w:t>
            </w:r>
          </w:p>
        </w:tc>
      </w:tr>
      <w:tr w:rsidR="00494D82" w:rsidRPr="00B47F53" w14:paraId="0803D3C6" w14:textId="77777777" w:rsidTr="007A7870">
        <w:trPr>
          <w:trHeight w:val="569"/>
        </w:trPr>
        <w:tc>
          <w:tcPr>
            <w:tcW w:w="625" w:type="dxa"/>
            <w:tcBorders>
              <w:top w:val="nil"/>
              <w:left w:val="single" w:sz="8" w:space="0" w:color="auto"/>
              <w:bottom w:val="single" w:sz="8" w:space="0" w:color="000000"/>
              <w:right w:val="single" w:sz="8" w:space="0" w:color="000000"/>
            </w:tcBorders>
            <w:shd w:val="clear" w:color="auto" w:fill="auto"/>
            <w:vAlign w:val="center"/>
            <w:hideMark/>
          </w:tcPr>
          <w:p w14:paraId="0ED4E81B"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34</w:t>
            </w:r>
          </w:p>
        </w:tc>
        <w:tc>
          <w:tcPr>
            <w:tcW w:w="5330" w:type="dxa"/>
            <w:tcBorders>
              <w:top w:val="nil"/>
              <w:left w:val="nil"/>
              <w:bottom w:val="single" w:sz="8" w:space="0" w:color="000000"/>
              <w:right w:val="single" w:sz="8" w:space="0" w:color="000000"/>
            </w:tcBorders>
            <w:shd w:val="clear" w:color="auto" w:fill="auto"/>
            <w:vAlign w:val="center"/>
            <w:hideMark/>
          </w:tcPr>
          <w:p w14:paraId="18D905B7" w14:textId="77777777" w:rsidR="00494D82" w:rsidRPr="00B47F53" w:rsidRDefault="00494D82" w:rsidP="00F8167B">
            <w:pPr>
              <w:spacing w:after="0"/>
              <w:jc w:val="both"/>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If temporary write-down description of write-up mechanism</w:t>
            </w:r>
          </w:p>
        </w:tc>
        <w:tc>
          <w:tcPr>
            <w:tcW w:w="3212" w:type="dxa"/>
            <w:tcBorders>
              <w:top w:val="nil"/>
              <w:left w:val="nil"/>
              <w:bottom w:val="single" w:sz="8" w:space="0" w:color="000000"/>
              <w:right w:val="single" w:sz="8" w:space="0" w:color="auto"/>
            </w:tcBorders>
            <w:shd w:val="clear" w:color="000000" w:fill="D9D9D9"/>
            <w:vAlign w:val="center"/>
            <w:hideMark/>
          </w:tcPr>
          <w:p w14:paraId="58BCEFE8"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 </w:t>
            </w:r>
          </w:p>
          <w:p w14:paraId="634C7A7C" w14:textId="77777777" w:rsidR="00494D82" w:rsidRPr="00B47F53" w:rsidRDefault="00494D82" w:rsidP="00C639CF">
            <w:pPr>
              <w:rPr>
                <w:rFonts w:ascii="Times New Roman" w:eastAsia="Times New Roman" w:hAnsi="Times New Roman" w:cs="Times New Roman"/>
                <w:color w:val="000000"/>
                <w:sz w:val="20"/>
                <w:szCs w:val="20"/>
                <w:lang w:eastAsia="en-ZA"/>
              </w:rPr>
            </w:pPr>
            <w:r w:rsidRPr="00B47F53">
              <w:rPr>
                <w:rFonts w:ascii="Times New Roman" w:hAnsi="Times New Roman" w:cs="Times New Roman"/>
                <w:color w:val="000000"/>
                <w:sz w:val="20"/>
                <w:szCs w:val="20"/>
              </w:rPr>
              <w:t xml:space="preserve">Not Applicable </w:t>
            </w:r>
          </w:p>
        </w:tc>
      </w:tr>
      <w:tr w:rsidR="00494D82" w:rsidRPr="00B47F53" w14:paraId="0C701795" w14:textId="77777777" w:rsidTr="007A7870">
        <w:trPr>
          <w:trHeight w:val="463"/>
        </w:trPr>
        <w:tc>
          <w:tcPr>
            <w:tcW w:w="625" w:type="dxa"/>
            <w:tcBorders>
              <w:top w:val="nil"/>
              <w:left w:val="single" w:sz="8" w:space="0" w:color="auto"/>
              <w:bottom w:val="single" w:sz="8" w:space="0" w:color="000000"/>
              <w:right w:val="single" w:sz="8" w:space="0" w:color="000000"/>
            </w:tcBorders>
            <w:shd w:val="clear" w:color="auto" w:fill="auto"/>
            <w:vAlign w:val="center"/>
            <w:hideMark/>
          </w:tcPr>
          <w:p w14:paraId="15DFF58D"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35</w:t>
            </w:r>
          </w:p>
        </w:tc>
        <w:tc>
          <w:tcPr>
            <w:tcW w:w="5330" w:type="dxa"/>
            <w:tcBorders>
              <w:top w:val="nil"/>
              <w:left w:val="nil"/>
              <w:bottom w:val="single" w:sz="8" w:space="0" w:color="000000"/>
              <w:right w:val="single" w:sz="8" w:space="0" w:color="000000"/>
            </w:tcBorders>
            <w:shd w:val="clear" w:color="auto" w:fill="auto"/>
            <w:vAlign w:val="center"/>
            <w:hideMark/>
          </w:tcPr>
          <w:p w14:paraId="4BDBD28D" w14:textId="77777777" w:rsidR="00494D82" w:rsidRPr="00B47F53" w:rsidRDefault="00494D82" w:rsidP="00F8167B">
            <w:pPr>
              <w:spacing w:after="0"/>
              <w:jc w:val="both"/>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Position in subordination hierarchy in liquidation (specify instrument type immediately senior to instrument)</w:t>
            </w:r>
          </w:p>
        </w:tc>
        <w:tc>
          <w:tcPr>
            <w:tcW w:w="3212" w:type="dxa"/>
            <w:tcBorders>
              <w:top w:val="nil"/>
              <w:left w:val="nil"/>
              <w:bottom w:val="single" w:sz="8" w:space="0" w:color="000000"/>
              <w:right w:val="single" w:sz="8" w:space="0" w:color="auto"/>
            </w:tcBorders>
            <w:shd w:val="clear" w:color="000000" w:fill="D9D9D9"/>
            <w:vAlign w:val="center"/>
            <w:hideMark/>
          </w:tcPr>
          <w:p w14:paraId="4B294B21"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 </w:t>
            </w:r>
          </w:p>
          <w:p w14:paraId="0A341E03" w14:textId="77777777" w:rsidR="00494D82" w:rsidRPr="00B47F53" w:rsidRDefault="00494D82" w:rsidP="00F8167B">
            <w:pPr>
              <w:rPr>
                <w:rFonts w:ascii="Times New Roman" w:eastAsia="Times New Roman" w:hAnsi="Times New Roman" w:cs="Times New Roman"/>
                <w:color w:val="000000"/>
                <w:sz w:val="20"/>
                <w:szCs w:val="20"/>
                <w:lang w:eastAsia="en-ZA"/>
              </w:rPr>
            </w:pPr>
            <w:r w:rsidRPr="00B47F53">
              <w:rPr>
                <w:rFonts w:ascii="Times New Roman" w:hAnsi="Times New Roman" w:cs="Times New Roman"/>
                <w:color w:val="000000"/>
                <w:sz w:val="20"/>
                <w:szCs w:val="20"/>
              </w:rPr>
              <w:t>Subordinated notes</w:t>
            </w:r>
          </w:p>
        </w:tc>
      </w:tr>
      <w:tr w:rsidR="00494D82" w:rsidRPr="00B47F53" w14:paraId="18987E7E" w14:textId="77777777" w:rsidTr="007A7870">
        <w:trPr>
          <w:trHeight w:val="318"/>
        </w:trPr>
        <w:tc>
          <w:tcPr>
            <w:tcW w:w="625" w:type="dxa"/>
            <w:tcBorders>
              <w:top w:val="nil"/>
              <w:left w:val="single" w:sz="8" w:space="0" w:color="auto"/>
              <w:bottom w:val="single" w:sz="4" w:space="0" w:color="auto"/>
              <w:right w:val="single" w:sz="8" w:space="0" w:color="000000"/>
            </w:tcBorders>
            <w:shd w:val="clear" w:color="auto" w:fill="auto"/>
            <w:vAlign w:val="center"/>
            <w:hideMark/>
          </w:tcPr>
          <w:p w14:paraId="43457556"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36</w:t>
            </w:r>
          </w:p>
        </w:tc>
        <w:tc>
          <w:tcPr>
            <w:tcW w:w="5330" w:type="dxa"/>
            <w:tcBorders>
              <w:top w:val="nil"/>
              <w:left w:val="nil"/>
              <w:bottom w:val="single" w:sz="4" w:space="0" w:color="auto"/>
              <w:right w:val="single" w:sz="8" w:space="0" w:color="000000"/>
            </w:tcBorders>
            <w:shd w:val="clear" w:color="auto" w:fill="auto"/>
            <w:vAlign w:val="center"/>
            <w:hideMark/>
          </w:tcPr>
          <w:p w14:paraId="5AB345A6" w14:textId="77777777" w:rsidR="00494D82" w:rsidRPr="00B47F53" w:rsidRDefault="00494D82" w:rsidP="00F8167B">
            <w:pPr>
              <w:spacing w:after="0"/>
              <w:jc w:val="both"/>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Non-compliant transitioned features</w:t>
            </w:r>
          </w:p>
        </w:tc>
        <w:tc>
          <w:tcPr>
            <w:tcW w:w="3212" w:type="dxa"/>
            <w:tcBorders>
              <w:top w:val="nil"/>
              <w:left w:val="nil"/>
              <w:bottom w:val="single" w:sz="4" w:space="0" w:color="auto"/>
              <w:right w:val="single" w:sz="8" w:space="0" w:color="auto"/>
            </w:tcBorders>
            <w:shd w:val="clear" w:color="000000" w:fill="D9D9D9"/>
            <w:vAlign w:val="center"/>
            <w:hideMark/>
          </w:tcPr>
          <w:p w14:paraId="2A83D03E"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 </w:t>
            </w:r>
          </w:p>
          <w:p w14:paraId="1DD89352" w14:textId="77777777" w:rsidR="00494D82" w:rsidRPr="00B47F53" w:rsidRDefault="00494D82" w:rsidP="00F8167B">
            <w:pPr>
              <w:rPr>
                <w:rFonts w:ascii="Times New Roman" w:eastAsia="Times New Roman" w:hAnsi="Times New Roman" w:cs="Times New Roman"/>
                <w:color w:val="000000"/>
                <w:sz w:val="20"/>
                <w:szCs w:val="20"/>
                <w:lang w:eastAsia="en-ZA"/>
              </w:rPr>
            </w:pPr>
            <w:r w:rsidRPr="00B47F53">
              <w:rPr>
                <w:rFonts w:ascii="Times New Roman" w:hAnsi="Times New Roman" w:cs="Times New Roman"/>
                <w:color w:val="000000"/>
                <w:sz w:val="20"/>
                <w:szCs w:val="20"/>
              </w:rPr>
              <w:t>Not Applicable</w:t>
            </w:r>
          </w:p>
        </w:tc>
      </w:tr>
      <w:tr w:rsidR="00494D82" w:rsidRPr="00B47F53" w14:paraId="721A3136" w14:textId="77777777" w:rsidTr="007A7870">
        <w:trPr>
          <w:trHeight w:val="346"/>
        </w:trPr>
        <w:tc>
          <w:tcPr>
            <w:tcW w:w="625" w:type="dxa"/>
            <w:tcBorders>
              <w:top w:val="single" w:sz="4" w:space="0" w:color="auto"/>
              <w:left w:val="single" w:sz="8" w:space="0" w:color="auto"/>
              <w:bottom w:val="single" w:sz="8" w:space="0" w:color="auto"/>
              <w:right w:val="single" w:sz="8" w:space="0" w:color="000000"/>
            </w:tcBorders>
            <w:shd w:val="clear" w:color="auto" w:fill="auto"/>
            <w:vAlign w:val="center"/>
            <w:hideMark/>
          </w:tcPr>
          <w:p w14:paraId="2D39691D"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37</w:t>
            </w:r>
          </w:p>
        </w:tc>
        <w:tc>
          <w:tcPr>
            <w:tcW w:w="5330" w:type="dxa"/>
            <w:tcBorders>
              <w:top w:val="single" w:sz="4" w:space="0" w:color="auto"/>
              <w:left w:val="nil"/>
              <w:bottom w:val="single" w:sz="8" w:space="0" w:color="auto"/>
              <w:right w:val="single" w:sz="8" w:space="0" w:color="000000"/>
            </w:tcBorders>
            <w:shd w:val="clear" w:color="auto" w:fill="auto"/>
            <w:vAlign w:val="center"/>
            <w:hideMark/>
          </w:tcPr>
          <w:p w14:paraId="0E824000" w14:textId="77777777" w:rsidR="00494D82" w:rsidRPr="00B47F53" w:rsidRDefault="00494D82" w:rsidP="00F8167B">
            <w:pPr>
              <w:spacing w:after="0"/>
              <w:jc w:val="both"/>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If yes specify non-compliant features</w:t>
            </w:r>
          </w:p>
        </w:tc>
        <w:tc>
          <w:tcPr>
            <w:tcW w:w="3212" w:type="dxa"/>
            <w:tcBorders>
              <w:top w:val="single" w:sz="4" w:space="0" w:color="auto"/>
              <w:left w:val="nil"/>
              <w:bottom w:val="single" w:sz="8" w:space="0" w:color="auto"/>
              <w:right w:val="single" w:sz="8" w:space="0" w:color="auto"/>
            </w:tcBorders>
            <w:shd w:val="clear" w:color="000000" w:fill="D9D9D9"/>
            <w:vAlign w:val="center"/>
            <w:hideMark/>
          </w:tcPr>
          <w:p w14:paraId="35DDF7E6" w14:textId="77777777" w:rsidR="00494D82" w:rsidRPr="00B47F53" w:rsidRDefault="00494D82"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 </w:t>
            </w:r>
          </w:p>
          <w:p w14:paraId="1F7BF95D" w14:textId="6E190F66" w:rsidR="00494D82" w:rsidRPr="00B47F53" w:rsidRDefault="00494D82" w:rsidP="00F8167B">
            <w:pPr>
              <w:rPr>
                <w:rFonts w:ascii="Times New Roman" w:eastAsia="Times New Roman" w:hAnsi="Times New Roman" w:cs="Times New Roman"/>
                <w:color w:val="000000"/>
                <w:sz w:val="20"/>
                <w:szCs w:val="20"/>
                <w:lang w:eastAsia="en-ZA"/>
              </w:rPr>
            </w:pPr>
            <w:r w:rsidRPr="00B47F53">
              <w:rPr>
                <w:rFonts w:ascii="Times New Roman" w:hAnsi="Times New Roman" w:cs="Times New Roman"/>
                <w:color w:val="000000"/>
                <w:sz w:val="20"/>
                <w:szCs w:val="20"/>
              </w:rPr>
              <w:t xml:space="preserve">Not Applicable </w:t>
            </w:r>
          </w:p>
        </w:tc>
      </w:tr>
    </w:tbl>
    <w:p w14:paraId="5A1EB61E" w14:textId="6A1A92E1" w:rsidR="004907A8" w:rsidRDefault="004907A8" w:rsidP="005E2393">
      <w:pPr>
        <w:pStyle w:val="Heading1"/>
        <w:numPr>
          <w:ilvl w:val="0"/>
          <w:numId w:val="43"/>
        </w:numPr>
        <w:tabs>
          <w:tab w:val="num" w:pos="340"/>
        </w:tabs>
        <w:spacing w:line="240" w:lineRule="auto"/>
        <w:ind w:left="340" w:hanging="340"/>
        <w:rPr>
          <w:rStyle w:val="A5"/>
          <w:rFonts w:ascii="Times New Roman" w:hAnsi="Times New Roman" w:cs="Times New Roman"/>
          <w:color w:val="auto"/>
          <w:sz w:val="20"/>
          <w:szCs w:val="20"/>
        </w:rPr>
      </w:pPr>
      <w:bookmarkStart w:id="19" w:name="_Toc100839097"/>
      <w:bookmarkStart w:id="20" w:name="_Toc519241601"/>
      <w:r>
        <w:rPr>
          <w:rStyle w:val="A5"/>
          <w:rFonts w:ascii="Times New Roman" w:hAnsi="Times New Roman" w:cs="Times New Roman"/>
          <w:color w:val="auto"/>
          <w:sz w:val="20"/>
          <w:szCs w:val="20"/>
        </w:rPr>
        <w:t>Credit Risk</w:t>
      </w:r>
      <w:bookmarkEnd w:id="19"/>
      <w:r>
        <w:rPr>
          <w:rStyle w:val="A5"/>
          <w:rFonts w:ascii="Times New Roman" w:hAnsi="Times New Roman" w:cs="Times New Roman"/>
          <w:color w:val="auto"/>
          <w:sz w:val="20"/>
          <w:szCs w:val="20"/>
        </w:rPr>
        <w:t xml:space="preserve"> </w:t>
      </w:r>
    </w:p>
    <w:p w14:paraId="1881BC2D" w14:textId="77777777" w:rsidR="005E2393" w:rsidRPr="005E2393" w:rsidRDefault="005E2393" w:rsidP="005E2393"/>
    <w:p w14:paraId="2CADCA3D" w14:textId="77777777" w:rsidR="00E321CD" w:rsidRPr="00EF143A" w:rsidRDefault="00E321CD" w:rsidP="00E321CD">
      <w:pPr>
        <w:spacing w:line="240" w:lineRule="auto"/>
        <w:rPr>
          <w:rFonts w:ascii="Times New Roman" w:hAnsi="Times New Roman" w:cs="Times New Roman"/>
          <w:b/>
          <w:sz w:val="20"/>
          <w:szCs w:val="20"/>
        </w:rPr>
      </w:pPr>
      <w:r w:rsidRPr="00EF143A">
        <w:rPr>
          <w:rStyle w:val="A5"/>
          <w:rFonts w:ascii="Times New Roman" w:hAnsi="Times New Roman" w:cs="Times New Roman"/>
          <w:b/>
          <w:color w:val="auto"/>
          <w:sz w:val="20"/>
          <w:szCs w:val="20"/>
        </w:rPr>
        <w:t>Table 30 (a): Qualitative Disclosures</w:t>
      </w:r>
    </w:p>
    <w:p w14:paraId="22343F08" w14:textId="4709FCE3" w:rsidR="00E321CD" w:rsidRPr="00EF143A" w:rsidRDefault="00E321CD" w:rsidP="00E321CD">
      <w:pPr>
        <w:ind w:left="426"/>
        <w:jc w:val="both"/>
        <w:rPr>
          <w:rFonts w:ascii="Times New Roman" w:hAnsi="Times New Roman" w:cs="Times New Roman"/>
          <w:sz w:val="20"/>
          <w:szCs w:val="20"/>
        </w:rPr>
      </w:pPr>
      <w:r w:rsidRPr="00EF143A">
        <w:rPr>
          <w:rFonts w:ascii="Times New Roman" w:hAnsi="Times New Roman" w:cs="Times New Roman"/>
          <w:sz w:val="20"/>
          <w:szCs w:val="20"/>
        </w:rPr>
        <w:t xml:space="preserve">Credit risk is the risk of financial loss to the </w:t>
      </w:r>
      <w:r w:rsidR="005E2393">
        <w:rPr>
          <w:rFonts w:ascii="Times New Roman" w:hAnsi="Times New Roman" w:cs="Times New Roman"/>
          <w:sz w:val="20"/>
          <w:szCs w:val="20"/>
        </w:rPr>
        <w:t>b</w:t>
      </w:r>
      <w:r w:rsidRPr="00EF143A">
        <w:rPr>
          <w:rFonts w:ascii="Times New Roman" w:hAnsi="Times New Roman" w:cs="Times New Roman"/>
          <w:sz w:val="20"/>
          <w:szCs w:val="20"/>
        </w:rPr>
        <w:t xml:space="preserve">ank if a customer or counterparty to a financial instrument fails to meet its contractual obligations and arises principally from the </w:t>
      </w:r>
      <w:r w:rsidR="005E2393">
        <w:rPr>
          <w:rFonts w:ascii="Times New Roman" w:hAnsi="Times New Roman" w:cs="Times New Roman"/>
          <w:sz w:val="20"/>
          <w:szCs w:val="20"/>
        </w:rPr>
        <w:t>b</w:t>
      </w:r>
      <w:r w:rsidRPr="00EF143A">
        <w:rPr>
          <w:rFonts w:ascii="Times New Roman" w:hAnsi="Times New Roman" w:cs="Times New Roman"/>
          <w:sz w:val="20"/>
          <w:szCs w:val="20"/>
        </w:rPr>
        <w:t xml:space="preserve">ank’s loans and advances to customers and other banks and its investment in securities. For risk management reporting purposes, the </w:t>
      </w:r>
      <w:r w:rsidR="005E2393">
        <w:rPr>
          <w:rFonts w:ascii="Times New Roman" w:hAnsi="Times New Roman" w:cs="Times New Roman"/>
          <w:sz w:val="20"/>
          <w:szCs w:val="20"/>
        </w:rPr>
        <w:t>b</w:t>
      </w:r>
      <w:r w:rsidRPr="00EF143A">
        <w:rPr>
          <w:rFonts w:ascii="Times New Roman" w:hAnsi="Times New Roman" w:cs="Times New Roman"/>
          <w:sz w:val="20"/>
          <w:szCs w:val="20"/>
        </w:rPr>
        <w:t>ank considers and consolidates all elements of credit risk exposure (such as individual obligor default risk country and sector risk).</w:t>
      </w:r>
    </w:p>
    <w:p w14:paraId="4962EA93" w14:textId="77777777" w:rsidR="00E321CD" w:rsidRPr="00EF143A" w:rsidRDefault="00E321CD" w:rsidP="00E321CD">
      <w:pPr>
        <w:widowControl w:val="0"/>
        <w:autoSpaceDE w:val="0"/>
        <w:autoSpaceDN w:val="0"/>
        <w:adjustRightInd w:val="0"/>
        <w:ind w:firstLine="720"/>
        <w:jc w:val="both"/>
        <w:rPr>
          <w:rFonts w:ascii="Times New Roman" w:hAnsi="Times New Roman" w:cs="Times New Roman"/>
          <w:b/>
          <w:sz w:val="20"/>
          <w:szCs w:val="20"/>
        </w:rPr>
      </w:pPr>
      <w:r w:rsidRPr="00EF143A">
        <w:rPr>
          <w:rFonts w:ascii="Times New Roman" w:hAnsi="Times New Roman" w:cs="Times New Roman"/>
          <w:b/>
          <w:sz w:val="20"/>
          <w:szCs w:val="20"/>
        </w:rPr>
        <w:t>Impaired loans and securities</w:t>
      </w:r>
    </w:p>
    <w:p w14:paraId="72CDECFB" w14:textId="1B20F68F" w:rsidR="00E321CD" w:rsidRPr="00EF143A" w:rsidRDefault="00E321CD" w:rsidP="00E321CD">
      <w:pPr>
        <w:widowControl w:val="0"/>
        <w:tabs>
          <w:tab w:val="left" w:pos="9041"/>
          <w:tab w:val="left" w:pos="9750"/>
        </w:tabs>
        <w:autoSpaceDE w:val="0"/>
        <w:autoSpaceDN w:val="0"/>
        <w:adjustRightInd w:val="0"/>
        <w:ind w:left="720"/>
        <w:jc w:val="both"/>
        <w:rPr>
          <w:rFonts w:ascii="Times New Roman" w:hAnsi="Times New Roman" w:cs="Times New Roman"/>
          <w:sz w:val="20"/>
          <w:szCs w:val="20"/>
        </w:rPr>
      </w:pPr>
      <w:r w:rsidRPr="00EF143A">
        <w:rPr>
          <w:rFonts w:ascii="Times New Roman" w:hAnsi="Times New Roman" w:cs="Times New Roman"/>
          <w:sz w:val="20"/>
          <w:szCs w:val="20"/>
        </w:rPr>
        <w:t xml:space="preserve">Impaired loans and securities are loans and securities for which the </w:t>
      </w:r>
      <w:r w:rsidR="005E2393">
        <w:rPr>
          <w:rFonts w:ascii="Times New Roman" w:hAnsi="Times New Roman" w:cs="Times New Roman"/>
          <w:sz w:val="20"/>
          <w:szCs w:val="20"/>
        </w:rPr>
        <w:t>b</w:t>
      </w:r>
      <w:r w:rsidRPr="00EF143A">
        <w:rPr>
          <w:rFonts w:ascii="Times New Roman" w:hAnsi="Times New Roman" w:cs="Times New Roman"/>
          <w:sz w:val="20"/>
          <w:szCs w:val="20"/>
        </w:rPr>
        <w:t xml:space="preserve">ank determines that it is probable that it will be unable to collect all principal and interest due according to the contractual terms of the loan/securities agreements. </w:t>
      </w:r>
    </w:p>
    <w:p w14:paraId="61094262" w14:textId="77777777" w:rsidR="00E321CD" w:rsidRPr="00EF143A" w:rsidRDefault="00E321CD" w:rsidP="00E321CD">
      <w:pPr>
        <w:widowControl w:val="0"/>
        <w:autoSpaceDE w:val="0"/>
        <w:autoSpaceDN w:val="0"/>
        <w:adjustRightInd w:val="0"/>
        <w:ind w:firstLine="720"/>
        <w:jc w:val="both"/>
        <w:rPr>
          <w:rFonts w:ascii="Times New Roman" w:hAnsi="Times New Roman" w:cs="Times New Roman"/>
          <w:b/>
          <w:sz w:val="20"/>
          <w:szCs w:val="20"/>
        </w:rPr>
      </w:pPr>
      <w:r w:rsidRPr="00EF143A">
        <w:rPr>
          <w:rFonts w:ascii="Times New Roman" w:hAnsi="Times New Roman" w:cs="Times New Roman"/>
          <w:b/>
          <w:sz w:val="20"/>
          <w:szCs w:val="20"/>
        </w:rPr>
        <w:t>Past due but not impaired loans</w:t>
      </w:r>
    </w:p>
    <w:p w14:paraId="3B448457" w14:textId="080857B6" w:rsidR="00E321CD" w:rsidRPr="00EF143A" w:rsidRDefault="00E321CD" w:rsidP="00E321CD">
      <w:pPr>
        <w:widowControl w:val="0"/>
        <w:autoSpaceDE w:val="0"/>
        <w:autoSpaceDN w:val="0"/>
        <w:adjustRightInd w:val="0"/>
        <w:ind w:left="720"/>
        <w:jc w:val="both"/>
        <w:rPr>
          <w:rFonts w:ascii="Times New Roman" w:hAnsi="Times New Roman" w:cs="Times New Roman"/>
          <w:sz w:val="20"/>
          <w:szCs w:val="20"/>
        </w:rPr>
      </w:pPr>
      <w:r w:rsidRPr="00EF143A">
        <w:rPr>
          <w:rFonts w:ascii="Times New Roman" w:hAnsi="Times New Roman" w:cs="Times New Roman"/>
          <w:sz w:val="20"/>
          <w:szCs w:val="20"/>
        </w:rPr>
        <w:t xml:space="preserve">Loans and securities where contractual interest or principal payments are past due, but the </w:t>
      </w:r>
      <w:r w:rsidR="006B17E3">
        <w:rPr>
          <w:rFonts w:ascii="Times New Roman" w:hAnsi="Times New Roman" w:cs="Times New Roman"/>
          <w:sz w:val="20"/>
          <w:szCs w:val="20"/>
        </w:rPr>
        <w:t>b</w:t>
      </w:r>
      <w:r w:rsidRPr="00EF143A">
        <w:rPr>
          <w:rFonts w:ascii="Times New Roman" w:hAnsi="Times New Roman" w:cs="Times New Roman"/>
          <w:sz w:val="20"/>
          <w:szCs w:val="20"/>
        </w:rPr>
        <w:t xml:space="preserve">ank believes that impairment is not appropriate on the basis of the level of security/collateral available and/or the stage of collection of amounts owed to the </w:t>
      </w:r>
      <w:r w:rsidR="006B17E3">
        <w:rPr>
          <w:rFonts w:ascii="Times New Roman" w:hAnsi="Times New Roman" w:cs="Times New Roman"/>
          <w:sz w:val="20"/>
          <w:szCs w:val="20"/>
        </w:rPr>
        <w:t>b</w:t>
      </w:r>
      <w:r w:rsidRPr="00EF143A">
        <w:rPr>
          <w:rFonts w:ascii="Times New Roman" w:hAnsi="Times New Roman" w:cs="Times New Roman"/>
          <w:sz w:val="20"/>
          <w:szCs w:val="20"/>
        </w:rPr>
        <w:t>ank.</w:t>
      </w:r>
    </w:p>
    <w:p w14:paraId="4E95D62C" w14:textId="77777777" w:rsidR="00E321CD" w:rsidRPr="00EF143A" w:rsidRDefault="00E321CD" w:rsidP="00E321CD">
      <w:pPr>
        <w:widowControl w:val="0"/>
        <w:autoSpaceDE w:val="0"/>
        <w:autoSpaceDN w:val="0"/>
        <w:adjustRightInd w:val="0"/>
        <w:ind w:firstLine="720"/>
        <w:jc w:val="both"/>
        <w:rPr>
          <w:rFonts w:ascii="Times New Roman" w:hAnsi="Times New Roman" w:cs="Times New Roman"/>
          <w:b/>
          <w:sz w:val="20"/>
          <w:szCs w:val="20"/>
        </w:rPr>
      </w:pPr>
      <w:r w:rsidRPr="00EF143A">
        <w:rPr>
          <w:rFonts w:ascii="Times New Roman" w:hAnsi="Times New Roman" w:cs="Times New Roman"/>
          <w:b/>
          <w:sz w:val="20"/>
          <w:szCs w:val="20"/>
        </w:rPr>
        <w:t>Loans with renegotiated terms</w:t>
      </w:r>
    </w:p>
    <w:p w14:paraId="65462448" w14:textId="48A84E68" w:rsidR="00E321CD" w:rsidRPr="00EF143A" w:rsidRDefault="00E321CD" w:rsidP="00E321CD">
      <w:pPr>
        <w:widowControl w:val="0"/>
        <w:autoSpaceDE w:val="0"/>
        <w:autoSpaceDN w:val="0"/>
        <w:adjustRightInd w:val="0"/>
        <w:ind w:left="720"/>
        <w:jc w:val="both"/>
        <w:rPr>
          <w:rFonts w:ascii="Times New Roman" w:hAnsi="Times New Roman" w:cs="Times New Roman"/>
          <w:sz w:val="20"/>
          <w:szCs w:val="20"/>
        </w:rPr>
      </w:pPr>
      <w:r w:rsidRPr="00EF143A">
        <w:rPr>
          <w:rFonts w:ascii="Times New Roman" w:hAnsi="Times New Roman" w:cs="Times New Roman"/>
          <w:sz w:val="20"/>
          <w:szCs w:val="20"/>
        </w:rPr>
        <w:t xml:space="preserve">Loans with renegotiated terms are loans that have been restructured due to deterioration in the borrower’s financial position and where the </w:t>
      </w:r>
      <w:r w:rsidR="006B17E3">
        <w:rPr>
          <w:rFonts w:ascii="Times New Roman" w:hAnsi="Times New Roman" w:cs="Times New Roman"/>
          <w:sz w:val="20"/>
          <w:szCs w:val="20"/>
        </w:rPr>
        <w:t>b</w:t>
      </w:r>
      <w:r w:rsidRPr="00EF143A">
        <w:rPr>
          <w:rFonts w:ascii="Times New Roman" w:hAnsi="Times New Roman" w:cs="Times New Roman"/>
          <w:sz w:val="20"/>
          <w:szCs w:val="20"/>
        </w:rPr>
        <w:t>ank has made concessions that it would not otherwise consider. Once the loan is restructured it remains in this category independent of satisfactory performance after restructuring.</w:t>
      </w:r>
    </w:p>
    <w:p w14:paraId="4EEAD73D" w14:textId="77777777" w:rsidR="00E321CD" w:rsidRPr="00EF143A" w:rsidRDefault="00E321CD" w:rsidP="00E321CD">
      <w:pPr>
        <w:widowControl w:val="0"/>
        <w:autoSpaceDE w:val="0"/>
        <w:autoSpaceDN w:val="0"/>
        <w:adjustRightInd w:val="0"/>
        <w:ind w:firstLine="720"/>
        <w:jc w:val="both"/>
        <w:rPr>
          <w:rFonts w:ascii="Times New Roman" w:hAnsi="Times New Roman" w:cs="Times New Roman"/>
          <w:b/>
          <w:sz w:val="20"/>
          <w:szCs w:val="20"/>
        </w:rPr>
      </w:pPr>
      <w:r w:rsidRPr="00EF143A">
        <w:rPr>
          <w:rFonts w:ascii="Times New Roman" w:hAnsi="Times New Roman" w:cs="Times New Roman"/>
          <w:b/>
          <w:sz w:val="20"/>
          <w:szCs w:val="20"/>
        </w:rPr>
        <w:t>Allowances for impairment</w:t>
      </w:r>
    </w:p>
    <w:p w14:paraId="22502D62" w14:textId="3ABFED43" w:rsidR="00E321CD" w:rsidRPr="00EF143A" w:rsidRDefault="00E321CD" w:rsidP="00E321CD">
      <w:pPr>
        <w:widowControl w:val="0"/>
        <w:autoSpaceDE w:val="0"/>
        <w:autoSpaceDN w:val="0"/>
        <w:adjustRightInd w:val="0"/>
        <w:ind w:left="720"/>
        <w:jc w:val="both"/>
        <w:rPr>
          <w:rFonts w:ascii="Times New Roman" w:hAnsi="Times New Roman" w:cs="Times New Roman"/>
          <w:sz w:val="20"/>
          <w:szCs w:val="20"/>
        </w:rPr>
      </w:pPr>
      <w:r w:rsidRPr="00EF143A">
        <w:rPr>
          <w:rFonts w:ascii="Times New Roman" w:hAnsi="Times New Roman" w:cs="Times New Roman"/>
          <w:sz w:val="20"/>
          <w:szCs w:val="20"/>
        </w:rPr>
        <w:t xml:space="preserve">The </w:t>
      </w:r>
      <w:r w:rsidR="006B17E3">
        <w:rPr>
          <w:rFonts w:ascii="Times New Roman" w:hAnsi="Times New Roman" w:cs="Times New Roman"/>
          <w:sz w:val="20"/>
          <w:szCs w:val="20"/>
        </w:rPr>
        <w:t>b</w:t>
      </w:r>
      <w:r w:rsidRPr="00EF143A">
        <w:rPr>
          <w:rFonts w:ascii="Times New Roman" w:hAnsi="Times New Roman" w:cs="Times New Roman"/>
          <w:sz w:val="20"/>
          <w:szCs w:val="20"/>
        </w:rPr>
        <w:t xml:space="preserve">ank establishes an allowance for impairment losses that represents its estimate of incurred losses in its loan portfolio. The main components of this allowance are a specific loss component that relates to individually significant exposures and a collective loan loss allowance established by the </w:t>
      </w:r>
      <w:r w:rsidR="006B17E3">
        <w:rPr>
          <w:rFonts w:ascii="Times New Roman" w:hAnsi="Times New Roman" w:cs="Times New Roman"/>
          <w:sz w:val="20"/>
          <w:szCs w:val="20"/>
        </w:rPr>
        <w:t>b</w:t>
      </w:r>
      <w:r w:rsidRPr="00EF143A">
        <w:rPr>
          <w:rFonts w:ascii="Times New Roman" w:hAnsi="Times New Roman" w:cs="Times New Roman"/>
          <w:sz w:val="20"/>
          <w:szCs w:val="20"/>
        </w:rPr>
        <w:t xml:space="preserve">ank of homogeneous assets in respect of losses that have been incurred but have not been identified on loans </w:t>
      </w:r>
      <w:r w:rsidRPr="00EF143A">
        <w:rPr>
          <w:rFonts w:ascii="Times New Roman" w:hAnsi="Times New Roman" w:cs="Times New Roman"/>
          <w:sz w:val="20"/>
          <w:szCs w:val="20"/>
        </w:rPr>
        <w:lastRenderedPageBreak/>
        <w:t>subject to individual assessment for impairment.</w:t>
      </w:r>
    </w:p>
    <w:p w14:paraId="78E9C37E" w14:textId="77777777" w:rsidR="00E321CD" w:rsidRPr="00EF143A" w:rsidRDefault="00E321CD" w:rsidP="00E321CD">
      <w:pPr>
        <w:widowControl w:val="0"/>
        <w:autoSpaceDE w:val="0"/>
        <w:autoSpaceDN w:val="0"/>
        <w:adjustRightInd w:val="0"/>
        <w:ind w:firstLine="720"/>
        <w:jc w:val="both"/>
        <w:rPr>
          <w:rFonts w:ascii="Times New Roman" w:hAnsi="Times New Roman" w:cs="Times New Roman"/>
          <w:b/>
          <w:sz w:val="20"/>
          <w:szCs w:val="20"/>
        </w:rPr>
      </w:pPr>
      <w:r w:rsidRPr="00EF143A">
        <w:rPr>
          <w:rFonts w:ascii="Times New Roman" w:hAnsi="Times New Roman" w:cs="Times New Roman"/>
          <w:b/>
          <w:sz w:val="20"/>
          <w:szCs w:val="20"/>
        </w:rPr>
        <w:t>Impairment policy</w:t>
      </w:r>
    </w:p>
    <w:p w14:paraId="3AFDB023" w14:textId="019068AD" w:rsidR="00E321CD" w:rsidRPr="00EF143A" w:rsidRDefault="00E321CD" w:rsidP="00E321CD">
      <w:pPr>
        <w:widowControl w:val="0"/>
        <w:autoSpaceDE w:val="0"/>
        <w:autoSpaceDN w:val="0"/>
        <w:adjustRightInd w:val="0"/>
        <w:ind w:left="720"/>
        <w:jc w:val="both"/>
        <w:rPr>
          <w:rFonts w:ascii="Times New Roman" w:hAnsi="Times New Roman" w:cs="Times New Roman"/>
          <w:sz w:val="20"/>
          <w:szCs w:val="20"/>
        </w:rPr>
      </w:pPr>
      <w:r w:rsidRPr="00EF143A">
        <w:rPr>
          <w:rFonts w:ascii="Times New Roman" w:hAnsi="Times New Roman" w:cs="Times New Roman"/>
          <w:sz w:val="20"/>
          <w:szCs w:val="20"/>
        </w:rPr>
        <w:t xml:space="preserve">The </w:t>
      </w:r>
      <w:r w:rsidR="006B17E3">
        <w:rPr>
          <w:rFonts w:ascii="Times New Roman" w:hAnsi="Times New Roman" w:cs="Times New Roman"/>
          <w:sz w:val="20"/>
          <w:szCs w:val="20"/>
        </w:rPr>
        <w:t>b</w:t>
      </w:r>
      <w:r w:rsidRPr="00EF143A">
        <w:rPr>
          <w:rFonts w:ascii="Times New Roman" w:hAnsi="Times New Roman" w:cs="Times New Roman"/>
          <w:sz w:val="20"/>
          <w:szCs w:val="20"/>
        </w:rPr>
        <w:t xml:space="preserve">ank writes off a loan/security balance (and any related allowances for impairment losses) when </w:t>
      </w:r>
      <w:r w:rsidR="006B17E3">
        <w:rPr>
          <w:rFonts w:ascii="Times New Roman" w:hAnsi="Times New Roman" w:cs="Times New Roman"/>
          <w:sz w:val="20"/>
          <w:szCs w:val="20"/>
        </w:rPr>
        <w:t>b</w:t>
      </w:r>
      <w:r w:rsidRPr="00EF143A">
        <w:rPr>
          <w:rFonts w:ascii="Times New Roman" w:hAnsi="Times New Roman" w:cs="Times New Roman"/>
          <w:sz w:val="20"/>
          <w:szCs w:val="20"/>
        </w:rPr>
        <w:t>ank Credit determines that the loans/securities are uncollectible. This determination is reached after considering information such as the occurrence of significant changes in the borrower/issuer’s financial position such that the borrower/issuer can no longer pay the obligation or that proceeds from collateral will not be sufficient to pay back the entire exposure.</w:t>
      </w:r>
    </w:p>
    <w:p w14:paraId="315AEFD4" w14:textId="77777777" w:rsidR="00E321CD" w:rsidRPr="00EF143A" w:rsidRDefault="00E321CD" w:rsidP="00E321CD">
      <w:pPr>
        <w:pStyle w:val="ListParagraph"/>
        <w:tabs>
          <w:tab w:val="left" w:pos="9430"/>
          <w:tab w:val="left" w:pos="9713"/>
          <w:tab w:val="left" w:pos="10989"/>
          <w:tab w:val="left" w:pos="12265"/>
        </w:tabs>
        <w:ind w:left="709" w:right="106"/>
        <w:jc w:val="both"/>
        <w:rPr>
          <w:rFonts w:ascii="Times New Roman" w:hAnsi="Times New Roman" w:cs="Times New Roman"/>
          <w:sz w:val="20"/>
          <w:szCs w:val="20"/>
        </w:rPr>
      </w:pPr>
      <w:r w:rsidRPr="00EF143A">
        <w:rPr>
          <w:rFonts w:ascii="Times New Roman" w:hAnsi="Times New Roman" w:cs="Times New Roman"/>
          <w:bCs/>
          <w:sz w:val="20"/>
          <w:szCs w:val="20"/>
        </w:rPr>
        <w:t>Net exposure to credit risk without taking into account any collateral or other credit enhancements</w:t>
      </w:r>
      <w:r w:rsidRPr="00EF143A">
        <w:rPr>
          <w:rFonts w:ascii="Times New Roman" w:hAnsi="Times New Roman" w:cs="Times New Roman"/>
          <w:bCs/>
          <w:sz w:val="20"/>
          <w:szCs w:val="20"/>
        </w:rPr>
        <w:tab/>
      </w:r>
    </w:p>
    <w:p w14:paraId="08AF6BF0" w14:textId="1FEECDA7" w:rsidR="00E321CD" w:rsidRDefault="00E321CD" w:rsidP="00E321CD">
      <w:pPr>
        <w:pStyle w:val="ListParagraph"/>
        <w:tabs>
          <w:tab w:val="left" w:pos="472"/>
          <w:tab w:val="left" w:pos="2506"/>
          <w:tab w:val="left" w:pos="4068"/>
          <w:tab w:val="left" w:pos="4496"/>
          <w:tab w:val="left" w:pos="5418"/>
          <w:tab w:val="left" w:pos="6640"/>
          <w:tab w:val="left" w:pos="7810"/>
          <w:tab w:val="left" w:pos="9430"/>
          <w:tab w:val="left" w:pos="9713"/>
          <w:tab w:val="left" w:pos="10989"/>
          <w:tab w:val="left" w:pos="12265"/>
        </w:tabs>
        <w:ind w:left="709" w:right="106"/>
        <w:jc w:val="both"/>
        <w:rPr>
          <w:rFonts w:ascii="Times New Roman" w:hAnsi="Times New Roman" w:cs="Times New Roman"/>
          <w:sz w:val="20"/>
          <w:szCs w:val="20"/>
        </w:rPr>
      </w:pPr>
      <w:r w:rsidRPr="00EF143A">
        <w:rPr>
          <w:rFonts w:ascii="Times New Roman" w:hAnsi="Times New Roman" w:cs="Times New Roman"/>
          <w:sz w:val="20"/>
          <w:szCs w:val="20"/>
        </w:rPr>
        <w:t xml:space="preserve">In respect of certain financial assets, the </w:t>
      </w:r>
      <w:r w:rsidR="006B17E3">
        <w:rPr>
          <w:rFonts w:ascii="Times New Roman" w:hAnsi="Times New Roman" w:cs="Times New Roman"/>
          <w:sz w:val="20"/>
          <w:szCs w:val="20"/>
        </w:rPr>
        <w:t>b</w:t>
      </w:r>
      <w:r w:rsidRPr="00EF143A">
        <w:rPr>
          <w:rFonts w:ascii="Times New Roman" w:hAnsi="Times New Roman" w:cs="Times New Roman"/>
          <w:sz w:val="20"/>
          <w:szCs w:val="20"/>
        </w:rPr>
        <w:t xml:space="preserve">ank has legally enforceable rights to offset them with financial liabilities. However, in normal circumstances there would be no intention of settling net or of realising the financial assets and settling the financial liabilities simultaneously.  Consequently, the financial assets are not offset against the respective financial liabilities for financial reporting purposes.  </w:t>
      </w:r>
    </w:p>
    <w:p w14:paraId="6EC8ABF5" w14:textId="57693649" w:rsidR="00DB5A96" w:rsidRPr="00CF3C1A" w:rsidRDefault="00DB5A96" w:rsidP="00CF3C1A">
      <w:pPr>
        <w:pStyle w:val="ListParagraph"/>
        <w:tabs>
          <w:tab w:val="left" w:pos="472"/>
          <w:tab w:val="left" w:pos="2506"/>
          <w:tab w:val="left" w:pos="4068"/>
          <w:tab w:val="left" w:pos="4496"/>
          <w:tab w:val="left" w:pos="5418"/>
          <w:tab w:val="left" w:pos="6640"/>
          <w:tab w:val="left" w:pos="7810"/>
          <w:tab w:val="left" w:pos="9430"/>
          <w:tab w:val="left" w:pos="9713"/>
          <w:tab w:val="left" w:pos="10989"/>
          <w:tab w:val="left" w:pos="12265"/>
        </w:tabs>
        <w:ind w:left="709" w:right="106"/>
        <w:jc w:val="both"/>
        <w:rPr>
          <w:rFonts w:ascii="Times New Roman" w:hAnsi="Times New Roman" w:cs="Times New Roman"/>
          <w:sz w:val="20"/>
          <w:szCs w:val="20"/>
        </w:rPr>
      </w:pPr>
    </w:p>
    <w:p w14:paraId="4CCC9A72" w14:textId="77777777" w:rsidR="00E321CD" w:rsidRPr="00EF143A" w:rsidRDefault="00E321CD" w:rsidP="00E321CD">
      <w:pPr>
        <w:jc w:val="both"/>
        <w:rPr>
          <w:rFonts w:ascii="Times New Roman" w:hAnsi="Times New Roman" w:cs="Times New Roman"/>
          <w:b/>
          <w:sz w:val="20"/>
          <w:szCs w:val="20"/>
        </w:rPr>
      </w:pPr>
      <w:r w:rsidRPr="00EF143A">
        <w:rPr>
          <w:rFonts w:ascii="Times New Roman" w:hAnsi="Times New Roman" w:cs="Times New Roman"/>
          <w:b/>
          <w:sz w:val="20"/>
          <w:szCs w:val="20"/>
        </w:rPr>
        <w:t>Table 30 (b): Quantitative Disclosures</w:t>
      </w:r>
    </w:p>
    <w:p w14:paraId="2981CCDC" w14:textId="269DA6DB" w:rsidR="00E321CD" w:rsidRPr="00CF3C1A" w:rsidRDefault="00E321CD" w:rsidP="00CF3C1A">
      <w:pPr>
        <w:jc w:val="both"/>
        <w:rPr>
          <w:rFonts w:ascii="Times New Roman" w:hAnsi="Times New Roman" w:cs="Times New Roman"/>
          <w:b/>
          <w:sz w:val="20"/>
          <w:szCs w:val="20"/>
        </w:rPr>
      </w:pPr>
      <w:r w:rsidRPr="00EF143A">
        <w:rPr>
          <w:rFonts w:ascii="Times New Roman" w:hAnsi="Times New Roman" w:cs="Times New Roman"/>
          <w:b/>
          <w:sz w:val="20"/>
          <w:szCs w:val="20"/>
        </w:rPr>
        <w:t>Exposures by major types of credit exposures (P’000)</w:t>
      </w:r>
      <w:r>
        <w:fldChar w:fldCharType="begin"/>
      </w:r>
      <w:r>
        <w:instrText xml:space="preserve"> LINK Excel.Sheet.12 "\\\\cbbwfilestore\\risk2\\Credit Reporting\\Statutory Return\\2022\\Mar\\Pillar 3 Tables.xlsx" "major types of credit exposures!R2C3:R9C6" \a \f 4 \h </w:instrText>
      </w:r>
      <w:r>
        <w:fldChar w:fldCharType="separate"/>
      </w:r>
    </w:p>
    <w:tbl>
      <w:tblPr>
        <w:tblW w:w="8940" w:type="dxa"/>
        <w:tblLook w:val="04A0" w:firstRow="1" w:lastRow="0" w:firstColumn="1" w:lastColumn="0" w:noHBand="0" w:noVBand="1"/>
      </w:tblPr>
      <w:tblGrid>
        <w:gridCol w:w="4357"/>
        <w:gridCol w:w="1924"/>
        <w:gridCol w:w="1350"/>
        <w:gridCol w:w="1309"/>
      </w:tblGrid>
      <w:tr w:rsidR="00E321CD" w:rsidRPr="005D76AD" w14:paraId="7030A704" w14:textId="77777777" w:rsidTr="00987626">
        <w:trPr>
          <w:trHeight w:val="270"/>
        </w:trPr>
        <w:tc>
          <w:tcPr>
            <w:tcW w:w="4480" w:type="dxa"/>
            <w:tcBorders>
              <w:top w:val="single" w:sz="8" w:space="0" w:color="auto"/>
              <w:left w:val="single" w:sz="8" w:space="0" w:color="auto"/>
              <w:bottom w:val="single" w:sz="8" w:space="0" w:color="auto"/>
              <w:right w:val="single" w:sz="8" w:space="0" w:color="auto"/>
            </w:tcBorders>
            <w:shd w:val="clear" w:color="000000" w:fill="92D050"/>
            <w:vAlign w:val="center"/>
            <w:hideMark/>
          </w:tcPr>
          <w:p w14:paraId="739CE956" w14:textId="77777777" w:rsidR="00E321CD" w:rsidRPr="005D76AD" w:rsidRDefault="00E321CD" w:rsidP="00987626">
            <w:pPr>
              <w:spacing w:after="0" w:line="240" w:lineRule="auto"/>
              <w:rPr>
                <w:rFonts w:ascii="Times New Roman" w:eastAsia="Times New Roman" w:hAnsi="Times New Roman" w:cs="Times New Roman"/>
                <w:b/>
                <w:bCs/>
                <w:color w:val="000000"/>
                <w:sz w:val="20"/>
                <w:szCs w:val="20"/>
              </w:rPr>
            </w:pPr>
            <w:r w:rsidRPr="005D76AD">
              <w:rPr>
                <w:rFonts w:ascii="Times New Roman" w:eastAsia="Times New Roman" w:hAnsi="Times New Roman" w:cs="Times New Roman"/>
                <w:b/>
                <w:bCs/>
                <w:color w:val="000000"/>
                <w:sz w:val="20"/>
                <w:szCs w:val="20"/>
              </w:rPr>
              <w:t>Risk Type</w:t>
            </w:r>
          </w:p>
        </w:tc>
        <w:tc>
          <w:tcPr>
            <w:tcW w:w="1960" w:type="dxa"/>
            <w:tcBorders>
              <w:top w:val="single" w:sz="8" w:space="0" w:color="auto"/>
              <w:left w:val="nil"/>
              <w:bottom w:val="single" w:sz="8" w:space="0" w:color="auto"/>
              <w:right w:val="single" w:sz="8" w:space="0" w:color="auto"/>
            </w:tcBorders>
            <w:shd w:val="clear" w:color="000000" w:fill="92D050"/>
            <w:vAlign w:val="center"/>
            <w:hideMark/>
          </w:tcPr>
          <w:p w14:paraId="65B08B24" w14:textId="77777777" w:rsidR="00E321CD" w:rsidRPr="005D76AD" w:rsidRDefault="00E321CD" w:rsidP="00987626">
            <w:pPr>
              <w:spacing w:after="0" w:line="240" w:lineRule="auto"/>
              <w:rPr>
                <w:rFonts w:ascii="Times New Roman" w:eastAsia="Times New Roman" w:hAnsi="Times New Roman" w:cs="Times New Roman"/>
                <w:b/>
                <w:bCs/>
                <w:color w:val="000000"/>
                <w:sz w:val="20"/>
                <w:szCs w:val="20"/>
              </w:rPr>
            </w:pPr>
            <w:r w:rsidRPr="005D76AD">
              <w:rPr>
                <w:rFonts w:ascii="Times New Roman" w:eastAsia="Times New Roman" w:hAnsi="Times New Roman" w:cs="Times New Roman"/>
                <w:b/>
                <w:bCs/>
                <w:color w:val="000000"/>
                <w:sz w:val="20"/>
                <w:szCs w:val="20"/>
              </w:rPr>
              <w:t>Domestic</w:t>
            </w:r>
          </w:p>
        </w:tc>
        <w:tc>
          <w:tcPr>
            <w:tcW w:w="1180" w:type="dxa"/>
            <w:tcBorders>
              <w:top w:val="single" w:sz="8" w:space="0" w:color="auto"/>
              <w:left w:val="nil"/>
              <w:bottom w:val="single" w:sz="8" w:space="0" w:color="auto"/>
              <w:right w:val="single" w:sz="8" w:space="0" w:color="auto"/>
            </w:tcBorders>
            <w:shd w:val="clear" w:color="000000" w:fill="92D050"/>
            <w:vAlign w:val="center"/>
            <w:hideMark/>
          </w:tcPr>
          <w:p w14:paraId="40D6CA81" w14:textId="77777777" w:rsidR="00E321CD" w:rsidRPr="005D76AD" w:rsidRDefault="00E321CD" w:rsidP="00987626">
            <w:pPr>
              <w:spacing w:after="0" w:line="240" w:lineRule="auto"/>
              <w:rPr>
                <w:rFonts w:ascii="Times New Roman" w:eastAsia="Times New Roman" w:hAnsi="Times New Roman" w:cs="Times New Roman"/>
                <w:b/>
                <w:bCs/>
                <w:color w:val="000000"/>
                <w:sz w:val="20"/>
                <w:szCs w:val="20"/>
              </w:rPr>
            </w:pPr>
            <w:r w:rsidRPr="005D76AD">
              <w:rPr>
                <w:rFonts w:ascii="Times New Roman" w:eastAsia="Times New Roman" w:hAnsi="Times New Roman" w:cs="Times New Roman"/>
                <w:b/>
                <w:bCs/>
                <w:color w:val="000000"/>
                <w:sz w:val="20"/>
                <w:szCs w:val="20"/>
              </w:rPr>
              <w:t>International</w:t>
            </w:r>
          </w:p>
        </w:tc>
        <w:tc>
          <w:tcPr>
            <w:tcW w:w="1320" w:type="dxa"/>
            <w:tcBorders>
              <w:top w:val="single" w:sz="8" w:space="0" w:color="auto"/>
              <w:left w:val="nil"/>
              <w:bottom w:val="single" w:sz="8" w:space="0" w:color="auto"/>
              <w:right w:val="single" w:sz="8" w:space="0" w:color="auto"/>
            </w:tcBorders>
            <w:shd w:val="clear" w:color="000000" w:fill="92D050"/>
            <w:vAlign w:val="center"/>
            <w:hideMark/>
          </w:tcPr>
          <w:p w14:paraId="0B239C52" w14:textId="77777777" w:rsidR="00E321CD" w:rsidRPr="005D76AD" w:rsidRDefault="00E321CD" w:rsidP="00987626">
            <w:pPr>
              <w:spacing w:after="0" w:line="240" w:lineRule="auto"/>
              <w:rPr>
                <w:rFonts w:ascii="Times New Roman" w:eastAsia="Times New Roman" w:hAnsi="Times New Roman" w:cs="Times New Roman"/>
                <w:b/>
                <w:bCs/>
                <w:color w:val="000000"/>
                <w:sz w:val="20"/>
                <w:szCs w:val="20"/>
              </w:rPr>
            </w:pPr>
            <w:r w:rsidRPr="005D76AD">
              <w:rPr>
                <w:rFonts w:ascii="Times New Roman" w:eastAsia="Times New Roman" w:hAnsi="Times New Roman" w:cs="Times New Roman"/>
                <w:b/>
                <w:bCs/>
                <w:color w:val="000000"/>
                <w:sz w:val="20"/>
                <w:szCs w:val="20"/>
              </w:rPr>
              <w:t>Total Exposure</w:t>
            </w:r>
          </w:p>
        </w:tc>
      </w:tr>
      <w:tr w:rsidR="00E321CD" w:rsidRPr="005D76AD" w14:paraId="4AF2C1C4" w14:textId="77777777" w:rsidTr="00987626">
        <w:trPr>
          <w:trHeight w:val="570"/>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15842B42"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Claims on Domestic &amp; Foreign Banks</w:t>
            </w:r>
          </w:p>
        </w:tc>
        <w:tc>
          <w:tcPr>
            <w:tcW w:w="1960" w:type="dxa"/>
            <w:tcBorders>
              <w:top w:val="nil"/>
              <w:left w:val="nil"/>
              <w:bottom w:val="nil"/>
              <w:right w:val="single" w:sz="8" w:space="0" w:color="auto"/>
            </w:tcBorders>
            <w:shd w:val="clear" w:color="auto" w:fill="auto"/>
            <w:vAlign w:val="center"/>
            <w:hideMark/>
          </w:tcPr>
          <w:p w14:paraId="0A7C3E8C"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 </w:t>
            </w:r>
          </w:p>
        </w:tc>
        <w:tc>
          <w:tcPr>
            <w:tcW w:w="1180" w:type="dxa"/>
            <w:tcBorders>
              <w:top w:val="nil"/>
              <w:left w:val="nil"/>
              <w:bottom w:val="nil"/>
              <w:right w:val="single" w:sz="8" w:space="0" w:color="auto"/>
            </w:tcBorders>
            <w:shd w:val="clear" w:color="auto" w:fill="auto"/>
            <w:vAlign w:val="center"/>
            <w:hideMark/>
          </w:tcPr>
          <w:p w14:paraId="5B7843D8"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 </w:t>
            </w:r>
          </w:p>
        </w:tc>
        <w:tc>
          <w:tcPr>
            <w:tcW w:w="1320" w:type="dxa"/>
            <w:tcBorders>
              <w:top w:val="nil"/>
              <w:left w:val="nil"/>
              <w:bottom w:val="nil"/>
              <w:right w:val="single" w:sz="8" w:space="0" w:color="auto"/>
            </w:tcBorders>
            <w:shd w:val="clear" w:color="auto" w:fill="auto"/>
            <w:vAlign w:val="center"/>
            <w:hideMark/>
          </w:tcPr>
          <w:p w14:paraId="2FCF9E25"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 </w:t>
            </w:r>
          </w:p>
        </w:tc>
      </w:tr>
      <w:tr w:rsidR="00E321CD" w:rsidRPr="005D76AD" w14:paraId="159FD58C" w14:textId="77777777" w:rsidTr="00987626">
        <w:trPr>
          <w:trHeight w:val="570"/>
        </w:trPr>
        <w:tc>
          <w:tcPr>
            <w:tcW w:w="4480" w:type="dxa"/>
            <w:tcBorders>
              <w:top w:val="nil"/>
              <w:left w:val="single" w:sz="8" w:space="0" w:color="auto"/>
              <w:bottom w:val="single" w:sz="8" w:space="0" w:color="auto"/>
              <w:right w:val="nil"/>
            </w:tcBorders>
            <w:shd w:val="clear" w:color="auto" w:fill="auto"/>
            <w:vAlign w:val="center"/>
            <w:hideMark/>
          </w:tcPr>
          <w:p w14:paraId="5E004B40"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Claims on Corporates</w:t>
            </w:r>
          </w:p>
        </w:tc>
        <w:tc>
          <w:tcPr>
            <w:tcW w:w="1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53C84A" w14:textId="6F24AAD8"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657,06</w:t>
            </w:r>
            <w:r w:rsidR="008A6B83">
              <w:rPr>
                <w:rFonts w:ascii="Times New Roman" w:eastAsia="Times New Roman" w:hAnsi="Times New Roman" w:cs="Times New Roman"/>
                <w:color w:val="000000"/>
                <w:sz w:val="20"/>
                <w:szCs w:val="20"/>
              </w:rPr>
              <w:t>3</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4537AA41"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184,332</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038B649F"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841,395</w:t>
            </w:r>
          </w:p>
        </w:tc>
      </w:tr>
      <w:tr w:rsidR="00E321CD" w:rsidRPr="005D76AD" w14:paraId="4974DB96" w14:textId="77777777" w:rsidTr="00987626">
        <w:trPr>
          <w:trHeight w:val="570"/>
        </w:trPr>
        <w:tc>
          <w:tcPr>
            <w:tcW w:w="4480" w:type="dxa"/>
            <w:tcBorders>
              <w:top w:val="nil"/>
              <w:left w:val="single" w:sz="8" w:space="0" w:color="auto"/>
              <w:bottom w:val="nil"/>
              <w:right w:val="nil"/>
            </w:tcBorders>
            <w:shd w:val="clear" w:color="auto" w:fill="auto"/>
            <w:vAlign w:val="center"/>
            <w:hideMark/>
          </w:tcPr>
          <w:p w14:paraId="2FD00EA9"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Claims included in the Retail Portfolios</w:t>
            </w:r>
          </w:p>
        </w:tc>
        <w:tc>
          <w:tcPr>
            <w:tcW w:w="1960" w:type="dxa"/>
            <w:tcBorders>
              <w:top w:val="nil"/>
              <w:left w:val="single" w:sz="8" w:space="0" w:color="auto"/>
              <w:bottom w:val="single" w:sz="8" w:space="0" w:color="auto"/>
              <w:right w:val="single" w:sz="8" w:space="0" w:color="auto"/>
            </w:tcBorders>
            <w:shd w:val="clear" w:color="auto" w:fill="auto"/>
            <w:vAlign w:val="center"/>
            <w:hideMark/>
          </w:tcPr>
          <w:p w14:paraId="5BCF4914"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1,608,377</w:t>
            </w:r>
          </w:p>
        </w:tc>
        <w:tc>
          <w:tcPr>
            <w:tcW w:w="1180" w:type="dxa"/>
            <w:tcBorders>
              <w:top w:val="nil"/>
              <w:left w:val="nil"/>
              <w:bottom w:val="single" w:sz="8" w:space="0" w:color="auto"/>
              <w:right w:val="single" w:sz="8" w:space="0" w:color="auto"/>
            </w:tcBorders>
            <w:shd w:val="clear" w:color="auto" w:fill="auto"/>
            <w:vAlign w:val="center"/>
            <w:hideMark/>
          </w:tcPr>
          <w:p w14:paraId="3A335C62"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 </w:t>
            </w:r>
          </w:p>
        </w:tc>
        <w:tc>
          <w:tcPr>
            <w:tcW w:w="1320" w:type="dxa"/>
            <w:tcBorders>
              <w:top w:val="nil"/>
              <w:left w:val="nil"/>
              <w:bottom w:val="single" w:sz="8" w:space="0" w:color="auto"/>
              <w:right w:val="single" w:sz="8" w:space="0" w:color="auto"/>
            </w:tcBorders>
            <w:shd w:val="clear" w:color="auto" w:fill="auto"/>
            <w:vAlign w:val="center"/>
            <w:hideMark/>
          </w:tcPr>
          <w:p w14:paraId="5F6BE674"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1,608,377</w:t>
            </w:r>
          </w:p>
        </w:tc>
      </w:tr>
      <w:tr w:rsidR="00E321CD" w:rsidRPr="005D76AD" w14:paraId="1C48B164" w14:textId="77777777" w:rsidTr="00987626">
        <w:trPr>
          <w:trHeight w:val="570"/>
        </w:trPr>
        <w:tc>
          <w:tcPr>
            <w:tcW w:w="4480" w:type="dxa"/>
            <w:tcBorders>
              <w:top w:val="single" w:sz="8" w:space="0" w:color="auto"/>
              <w:left w:val="single" w:sz="8" w:space="0" w:color="auto"/>
              <w:bottom w:val="single" w:sz="8" w:space="0" w:color="auto"/>
              <w:right w:val="nil"/>
            </w:tcBorders>
            <w:shd w:val="clear" w:color="auto" w:fill="auto"/>
            <w:vAlign w:val="center"/>
            <w:hideMark/>
          </w:tcPr>
          <w:p w14:paraId="2318F577"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Claims Secured by Commercial Real Estate</w:t>
            </w:r>
          </w:p>
        </w:tc>
        <w:tc>
          <w:tcPr>
            <w:tcW w:w="1960" w:type="dxa"/>
            <w:tcBorders>
              <w:top w:val="nil"/>
              <w:left w:val="single" w:sz="8" w:space="0" w:color="auto"/>
              <w:bottom w:val="single" w:sz="8" w:space="0" w:color="auto"/>
              <w:right w:val="single" w:sz="8" w:space="0" w:color="auto"/>
            </w:tcBorders>
            <w:shd w:val="clear" w:color="auto" w:fill="auto"/>
            <w:vAlign w:val="center"/>
            <w:hideMark/>
          </w:tcPr>
          <w:p w14:paraId="0F8DA642"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539,055</w:t>
            </w:r>
          </w:p>
        </w:tc>
        <w:tc>
          <w:tcPr>
            <w:tcW w:w="1180" w:type="dxa"/>
            <w:tcBorders>
              <w:top w:val="nil"/>
              <w:left w:val="nil"/>
              <w:bottom w:val="single" w:sz="8" w:space="0" w:color="auto"/>
              <w:right w:val="single" w:sz="8" w:space="0" w:color="auto"/>
            </w:tcBorders>
            <w:shd w:val="clear" w:color="auto" w:fill="auto"/>
            <w:vAlign w:val="center"/>
            <w:hideMark/>
          </w:tcPr>
          <w:p w14:paraId="482FE527"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 </w:t>
            </w:r>
          </w:p>
        </w:tc>
        <w:tc>
          <w:tcPr>
            <w:tcW w:w="1320" w:type="dxa"/>
            <w:tcBorders>
              <w:top w:val="nil"/>
              <w:left w:val="nil"/>
              <w:bottom w:val="single" w:sz="8" w:space="0" w:color="auto"/>
              <w:right w:val="single" w:sz="8" w:space="0" w:color="auto"/>
            </w:tcBorders>
            <w:shd w:val="clear" w:color="auto" w:fill="auto"/>
            <w:vAlign w:val="center"/>
            <w:hideMark/>
          </w:tcPr>
          <w:p w14:paraId="7076E554"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539,055</w:t>
            </w:r>
          </w:p>
        </w:tc>
      </w:tr>
      <w:tr w:rsidR="00E321CD" w:rsidRPr="005D76AD" w14:paraId="360F069A" w14:textId="77777777" w:rsidTr="00987626">
        <w:trPr>
          <w:trHeight w:val="570"/>
        </w:trPr>
        <w:tc>
          <w:tcPr>
            <w:tcW w:w="4480" w:type="dxa"/>
            <w:tcBorders>
              <w:top w:val="nil"/>
              <w:left w:val="single" w:sz="8" w:space="0" w:color="auto"/>
              <w:bottom w:val="single" w:sz="8" w:space="0" w:color="auto"/>
              <w:right w:val="nil"/>
            </w:tcBorders>
            <w:shd w:val="clear" w:color="auto" w:fill="auto"/>
            <w:vAlign w:val="center"/>
            <w:hideMark/>
          </w:tcPr>
          <w:p w14:paraId="2BCA1622"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Claims Secured by Residential Mortgage Property</w:t>
            </w:r>
          </w:p>
        </w:tc>
        <w:tc>
          <w:tcPr>
            <w:tcW w:w="1960" w:type="dxa"/>
            <w:tcBorders>
              <w:top w:val="nil"/>
              <w:left w:val="single" w:sz="8" w:space="0" w:color="auto"/>
              <w:bottom w:val="single" w:sz="8" w:space="0" w:color="auto"/>
              <w:right w:val="single" w:sz="8" w:space="0" w:color="auto"/>
            </w:tcBorders>
            <w:shd w:val="clear" w:color="auto" w:fill="auto"/>
            <w:vAlign w:val="center"/>
            <w:hideMark/>
          </w:tcPr>
          <w:p w14:paraId="02BFD0CD"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64,230</w:t>
            </w:r>
          </w:p>
        </w:tc>
        <w:tc>
          <w:tcPr>
            <w:tcW w:w="1180" w:type="dxa"/>
            <w:tcBorders>
              <w:top w:val="nil"/>
              <w:left w:val="nil"/>
              <w:bottom w:val="single" w:sz="8" w:space="0" w:color="auto"/>
              <w:right w:val="single" w:sz="8" w:space="0" w:color="auto"/>
            </w:tcBorders>
            <w:shd w:val="clear" w:color="auto" w:fill="auto"/>
            <w:vAlign w:val="center"/>
            <w:hideMark/>
          </w:tcPr>
          <w:p w14:paraId="13B9EFAA"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 </w:t>
            </w:r>
          </w:p>
        </w:tc>
        <w:tc>
          <w:tcPr>
            <w:tcW w:w="1320" w:type="dxa"/>
            <w:tcBorders>
              <w:top w:val="nil"/>
              <w:left w:val="nil"/>
              <w:bottom w:val="single" w:sz="8" w:space="0" w:color="auto"/>
              <w:right w:val="single" w:sz="8" w:space="0" w:color="auto"/>
            </w:tcBorders>
            <w:shd w:val="clear" w:color="auto" w:fill="auto"/>
            <w:vAlign w:val="center"/>
            <w:hideMark/>
          </w:tcPr>
          <w:p w14:paraId="5F2C0029"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64,230</w:t>
            </w:r>
          </w:p>
        </w:tc>
      </w:tr>
      <w:tr w:rsidR="00E321CD" w:rsidRPr="005D76AD" w14:paraId="5A961E02" w14:textId="77777777" w:rsidTr="00987626">
        <w:trPr>
          <w:trHeight w:val="570"/>
        </w:trPr>
        <w:tc>
          <w:tcPr>
            <w:tcW w:w="4480" w:type="dxa"/>
            <w:tcBorders>
              <w:top w:val="nil"/>
              <w:left w:val="single" w:sz="8" w:space="0" w:color="auto"/>
              <w:bottom w:val="single" w:sz="8" w:space="0" w:color="auto"/>
              <w:right w:val="nil"/>
            </w:tcBorders>
            <w:shd w:val="clear" w:color="auto" w:fill="auto"/>
            <w:vAlign w:val="center"/>
            <w:hideMark/>
          </w:tcPr>
          <w:p w14:paraId="797D1663"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Claims on Public Sector Entities (PSEs) 0 one risk weight less favourable than sovereign</w:t>
            </w:r>
          </w:p>
        </w:tc>
        <w:tc>
          <w:tcPr>
            <w:tcW w:w="1960" w:type="dxa"/>
            <w:tcBorders>
              <w:top w:val="nil"/>
              <w:left w:val="single" w:sz="8" w:space="0" w:color="auto"/>
              <w:bottom w:val="single" w:sz="8" w:space="0" w:color="auto"/>
              <w:right w:val="single" w:sz="8" w:space="0" w:color="auto"/>
            </w:tcBorders>
            <w:shd w:val="clear" w:color="auto" w:fill="auto"/>
            <w:vAlign w:val="center"/>
            <w:hideMark/>
          </w:tcPr>
          <w:p w14:paraId="4ED0C901"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65,000</w:t>
            </w:r>
          </w:p>
        </w:tc>
        <w:tc>
          <w:tcPr>
            <w:tcW w:w="1180" w:type="dxa"/>
            <w:tcBorders>
              <w:top w:val="nil"/>
              <w:left w:val="nil"/>
              <w:bottom w:val="single" w:sz="8" w:space="0" w:color="auto"/>
              <w:right w:val="single" w:sz="8" w:space="0" w:color="auto"/>
            </w:tcBorders>
            <w:shd w:val="clear" w:color="auto" w:fill="auto"/>
            <w:vAlign w:val="center"/>
            <w:hideMark/>
          </w:tcPr>
          <w:p w14:paraId="3ABBFAB7"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 </w:t>
            </w:r>
          </w:p>
        </w:tc>
        <w:tc>
          <w:tcPr>
            <w:tcW w:w="1320" w:type="dxa"/>
            <w:tcBorders>
              <w:top w:val="nil"/>
              <w:left w:val="nil"/>
              <w:bottom w:val="single" w:sz="8" w:space="0" w:color="auto"/>
              <w:right w:val="single" w:sz="8" w:space="0" w:color="auto"/>
            </w:tcBorders>
            <w:shd w:val="clear" w:color="auto" w:fill="auto"/>
            <w:vAlign w:val="center"/>
            <w:hideMark/>
          </w:tcPr>
          <w:p w14:paraId="588DFFAB"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65,000</w:t>
            </w:r>
          </w:p>
        </w:tc>
      </w:tr>
      <w:tr w:rsidR="00E321CD" w:rsidRPr="005D76AD" w14:paraId="12651584" w14:textId="77777777" w:rsidTr="00987626">
        <w:trPr>
          <w:trHeight w:val="270"/>
        </w:trPr>
        <w:tc>
          <w:tcPr>
            <w:tcW w:w="4480" w:type="dxa"/>
            <w:tcBorders>
              <w:top w:val="nil"/>
              <w:left w:val="single" w:sz="8" w:space="0" w:color="auto"/>
              <w:bottom w:val="single" w:sz="8" w:space="0" w:color="auto"/>
              <w:right w:val="nil"/>
            </w:tcBorders>
            <w:shd w:val="clear" w:color="auto" w:fill="auto"/>
            <w:vAlign w:val="center"/>
            <w:hideMark/>
          </w:tcPr>
          <w:p w14:paraId="4C0A193A" w14:textId="77777777" w:rsidR="00E321CD" w:rsidRPr="005D76AD" w:rsidRDefault="00E321CD" w:rsidP="00987626">
            <w:pPr>
              <w:spacing w:after="0" w:line="240" w:lineRule="auto"/>
              <w:rPr>
                <w:rFonts w:ascii="Times New Roman" w:eastAsia="Times New Roman" w:hAnsi="Times New Roman" w:cs="Times New Roman"/>
                <w:b/>
                <w:bCs/>
                <w:color w:val="000000"/>
                <w:sz w:val="20"/>
                <w:szCs w:val="20"/>
              </w:rPr>
            </w:pPr>
            <w:r w:rsidRPr="005D76AD">
              <w:rPr>
                <w:rFonts w:ascii="Times New Roman" w:eastAsia="Times New Roman" w:hAnsi="Times New Roman" w:cs="Times New Roman"/>
                <w:b/>
                <w:bCs/>
                <w:color w:val="000000"/>
                <w:sz w:val="20"/>
                <w:szCs w:val="20"/>
              </w:rPr>
              <w:t>TOTAL</w:t>
            </w:r>
          </w:p>
        </w:tc>
        <w:tc>
          <w:tcPr>
            <w:tcW w:w="1960" w:type="dxa"/>
            <w:tcBorders>
              <w:top w:val="nil"/>
              <w:left w:val="single" w:sz="8" w:space="0" w:color="auto"/>
              <w:bottom w:val="single" w:sz="8" w:space="0" w:color="auto"/>
              <w:right w:val="single" w:sz="8" w:space="0" w:color="auto"/>
            </w:tcBorders>
            <w:shd w:val="clear" w:color="auto" w:fill="auto"/>
            <w:vAlign w:val="center"/>
            <w:hideMark/>
          </w:tcPr>
          <w:p w14:paraId="3A76B27E" w14:textId="77777777" w:rsidR="00E321CD" w:rsidRPr="005D76AD" w:rsidRDefault="00E321CD" w:rsidP="00987626">
            <w:pPr>
              <w:spacing w:after="0" w:line="240" w:lineRule="auto"/>
              <w:jc w:val="right"/>
              <w:rPr>
                <w:rFonts w:ascii="Times New Roman" w:eastAsia="Times New Roman" w:hAnsi="Times New Roman" w:cs="Times New Roman"/>
                <w:b/>
                <w:bCs/>
                <w:color w:val="000000"/>
                <w:sz w:val="20"/>
                <w:szCs w:val="20"/>
              </w:rPr>
            </w:pPr>
            <w:r w:rsidRPr="005D76AD">
              <w:rPr>
                <w:rFonts w:ascii="Times New Roman" w:eastAsia="Times New Roman" w:hAnsi="Times New Roman" w:cs="Times New Roman"/>
                <w:b/>
                <w:bCs/>
                <w:color w:val="000000"/>
                <w:sz w:val="20"/>
                <w:szCs w:val="20"/>
              </w:rPr>
              <w:t>2,933,725</w:t>
            </w:r>
          </w:p>
        </w:tc>
        <w:tc>
          <w:tcPr>
            <w:tcW w:w="1180" w:type="dxa"/>
            <w:tcBorders>
              <w:top w:val="nil"/>
              <w:left w:val="nil"/>
              <w:bottom w:val="single" w:sz="8" w:space="0" w:color="auto"/>
              <w:right w:val="single" w:sz="8" w:space="0" w:color="auto"/>
            </w:tcBorders>
            <w:shd w:val="clear" w:color="auto" w:fill="auto"/>
            <w:vAlign w:val="center"/>
            <w:hideMark/>
          </w:tcPr>
          <w:p w14:paraId="76AA5F3E" w14:textId="77777777" w:rsidR="00E321CD" w:rsidRPr="005D76AD" w:rsidRDefault="00E321CD" w:rsidP="00987626">
            <w:pPr>
              <w:spacing w:after="0" w:line="240" w:lineRule="auto"/>
              <w:jc w:val="right"/>
              <w:rPr>
                <w:rFonts w:ascii="Times New Roman" w:eastAsia="Times New Roman" w:hAnsi="Times New Roman" w:cs="Times New Roman"/>
                <w:b/>
                <w:bCs/>
                <w:color w:val="000000"/>
                <w:sz w:val="20"/>
                <w:szCs w:val="20"/>
              </w:rPr>
            </w:pPr>
            <w:r w:rsidRPr="005D76AD">
              <w:rPr>
                <w:rFonts w:ascii="Times New Roman" w:eastAsia="Times New Roman" w:hAnsi="Times New Roman" w:cs="Times New Roman"/>
                <w:b/>
                <w:bCs/>
                <w:color w:val="000000"/>
                <w:sz w:val="20"/>
                <w:szCs w:val="20"/>
              </w:rPr>
              <w:t>184,332</w:t>
            </w:r>
          </w:p>
        </w:tc>
        <w:tc>
          <w:tcPr>
            <w:tcW w:w="1320" w:type="dxa"/>
            <w:tcBorders>
              <w:top w:val="nil"/>
              <w:left w:val="nil"/>
              <w:bottom w:val="single" w:sz="8" w:space="0" w:color="auto"/>
              <w:right w:val="single" w:sz="8" w:space="0" w:color="auto"/>
            </w:tcBorders>
            <w:shd w:val="clear" w:color="auto" w:fill="auto"/>
            <w:vAlign w:val="center"/>
            <w:hideMark/>
          </w:tcPr>
          <w:p w14:paraId="0114B4B4" w14:textId="77777777" w:rsidR="00E321CD" w:rsidRPr="005D76AD" w:rsidRDefault="00E321CD" w:rsidP="00987626">
            <w:pPr>
              <w:spacing w:after="0" w:line="240" w:lineRule="auto"/>
              <w:jc w:val="right"/>
              <w:rPr>
                <w:rFonts w:ascii="Times New Roman" w:eastAsia="Times New Roman" w:hAnsi="Times New Roman" w:cs="Times New Roman"/>
                <w:b/>
                <w:bCs/>
                <w:color w:val="000000"/>
                <w:sz w:val="20"/>
                <w:szCs w:val="20"/>
              </w:rPr>
            </w:pPr>
            <w:r w:rsidRPr="005D76AD">
              <w:rPr>
                <w:rFonts w:ascii="Times New Roman" w:eastAsia="Times New Roman" w:hAnsi="Times New Roman" w:cs="Times New Roman"/>
                <w:b/>
                <w:bCs/>
                <w:color w:val="000000"/>
                <w:sz w:val="20"/>
                <w:szCs w:val="20"/>
              </w:rPr>
              <w:t>3,118,057</w:t>
            </w:r>
          </w:p>
        </w:tc>
      </w:tr>
    </w:tbl>
    <w:p w14:paraId="4AF71E4E" w14:textId="77777777" w:rsidR="00E321CD" w:rsidRPr="00EF143A" w:rsidRDefault="00E321CD" w:rsidP="00E321CD">
      <w:pPr>
        <w:tabs>
          <w:tab w:val="left" w:pos="3447"/>
        </w:tabs>
        <w:jc w:val="both"/>
        <w:rPr>
          <w:rFonts w:ascii="Times New Roman" w:hAnsi="Times New Roman" w:cs="Times New Roman"/>
          <w:b/>
          <w:sz w:val="20"/>
          <w:szCs w:val="20"/>
        </w:rPr>
      </w:pPr>
      <w:r>
        <w:rPr>
          <w:rFonts w:ascii="Times New Roman" w:hAnsi="Times New Roman" w:cs="Times New Roman"/>
          <w:b/>
          <w:sz w:val="20"/>
          <w:szCs w:val="20"/>
        </w:rPr>
        <w:fldChar w:fldCharType="end"/>
      </w:r>
    </w:p>
    <w:p w14:paraId="055261E8" w14:textId="77777777" w:rsidR="00E321CD" w:rsidRPr="00EF143A" w:rsidRDefault="00E321CD" w:rsidP="00E321CD">
      <w:pPr>
        <w:tabs>
          <w:tab w:val="left" w:pos="3447"/>
        </w:tabs>
        <w:jc w:val="both"/>
        <w:rPr>
          <w:rFonts w:ascii="Times New Roman" w:hAnsi="Times New Roman" w:cs="Times New Roman"/>
          <w:sz w:val="20"/>
          <w:szCs w:val="20"/>
        </w:rPr>
      </w:pPr>
      <w:r w:rsidRPr="00EF143A">
        <w:rPr>
          <w:rFonts w:ascii="Times New Roman" w:hAnsi="Times New Roman" w:cs="Times New Roman"/>
          <w:b/>
          <w:sz w:val="20"/>
          <w:szCs w:val="20"/>
        </w:rPr>
        <w:t>Geographic Distribution</w:t>
      </w:r>
    </w:p>
    <w:tbl>
      <w:tblPr>
        <w:tblW w:w="5500" w:type="dxa"/>
        <w:tblLook w:val="04A0" w:firstRow="1" w:lastRow="0" w:firstColumn="1" w:lastColumn="0" w:noHBand="0" w:noVBand="1"/>
      </w:tblPr>
      <w:tblGrid>
        <w:gridCol w:w="2700"/>
        <w:gridCol w:w="2800"/>
      </w:tblGrid>
      <w:tr w:rsidR="00E321CD" w:rsidRPr="00235B17" w14:paraId="6C5D1ACC" w14:textId="77777777" w:rsidTr="00987626">
        <w:trPr>
          <w:trHeight w:val="780"/>
        </w:trPr>
        <w:tc>
          <w:tcPr>
            <w:tcW w:w="2700" w:type="dxa"/>
            <w:tcBorders>
              <w:top w:val="single" w:sz="8" w:space="0" w:color="auto"/>
              <w:left w:val="single" w:sz="8" w:space="0" w:color="auto"/>
              <w:bottom w:val="single" w:sz="8" w:space="0" w:color="auto"/>
              <w:right w:val="single" w:sz="8" w:space="0" w:color="auto"/>
            </w:tcBorders>
            <w:shd w:val="clear" w:color="000000" w:fill="92D050"/>
            <w:vAlign w:val="center"/>
            <w:hideMark/>
          </w:tcPr>
          <w:p w14:paraId="4482A8B2" w14:textId="77777777" w:rsidR="00E321CD" w:rsidRPr="00235B17" w:rsidRDefault="00E321CD" w:rsidP="00987626">
            <w:pPr>
              <w:spacing w:after="0" w:line="240" w:lineRule="auto"/>
              <w:jc w:val="both"/>
              <w:rPr>
                <w:rFonts w:ascii="Times New Roman" w:eastAsia="Times New Roman" w:hAnsi="Times New Roman" w:cs="Times New Roman"/>
                <w:b/>
                <w:bCs/>
                <w:color w:val="000000"/>
                <w:sz w:val="20"/>
                <w:szCs w:val="20"/>
              </w:rPr>
            </w:pPr>
            <w:r w:rsidRPr="00235B17">
              <w:rPr>
                <w:rFonts w:ascii="Times New Roman" w:eastAsia="Times New Roman" w:hAnsi="Times New Roman" w:cs="Times New Roman"/>
                <w:b/>
                <w:bCs/>
                <w:color w:val="000000"/>
                <w:sz w:val="20"/>
                <w:szCs w:val="20"/>
              </w:rPr>
              <w:t>Category</w:t>
            </w:r>
          </w:p>
        </w:tc>
        <w:tc>
          <w:tcPr>
            <w:tcW w:w="2800" w:type="dxa"/>
            <w:tcBorders>
              <w:top w:val="single" w:sz="8" w:space="0" w:color="auto"/>
              <w:left w:val="nil"/>
              <w:bottom w:val="single" w:sz="8" w:space="0" w:color="auto"/>
              <w:right w:val="single" w:sz="8" w:space="0" w:color="auto"/>
            </w:tcBorders>
            <w:shd w:val="clear" w:color="000000" w:fill="92D050"/>
            <w:vAlign w:val="center"/>
            <w:hideMark/>
          </w:tcPr>
          <w:p w14:paraId="638E7CF8" w14:textId="77777777" w:rsidR="00E321CD" w:rsidRPr="00235B17" w:rsidRDefault="00E321CD" w:rsidP="00987626">
            <w:pPr>
              <w:spacing w:after="0" w:line="240" w:lineRule="auto"/>
              <w:jc w:val="right"/>
              <w:rPr>
                <w:rFonts w:ascii="Times New Roman" w:eastAsia="Times New Roman" w:hAnsi="Times New Roman" w:cs="Times New Roman"/>
                <w:b/>
                <w:bCs/>
                <w:color w:val="000000"/>
                <w:sz w:val="20"/>
                <w:szCs w:val="20"/>
              </w:rPr>
            </w:pPr>
            <w:r w:rsidRPr="00235B17">
              <w:rPr>
                <w:rFonts w:ascii="Times New Roman" w:eastAsia="Times New Roman" w:hAnsi="Times New Roman" w:cs="Times New Roman"/>
                <w:b/>
                <w:bCs/>
                <w:color w:val="000000"/>
                <w:sz w:val="20"/>
                <w:szCs w:val="20"/>
              </w:rPr>
              <w:t>As at 31 March 2022</w:t>
            </w:r>
          </w:p>
        </w:tc>
      </w:tr>
      <w:tr w:rsidR="00E321CD" w:rsidRPr="00235B17" w14:paraId="5CAA908A" w14:textId="77777777" w:rsidTr="00987626">
        <w:trPr>
          <w:trHeight w:val="315"/>
        </w:trPr>
        <w:tc>
          <w:tcPr>
            <w:tcW w:w="2700" w:type="dxa"/>
            <w:tcBorders>
              <w:top w:val="nil"/>
              <w:left w:val="single" w:sz="8" w:space="0" w:color="auto"/>
              <w:bottom w:val="single" w:sz="8" w:space="0" w:color="auto"/>
              <w:right w:val="single" w:sz="8" w:space="0" w:color="auto"/>
            </w:tcBorders>
            <w:shd w:val="clear" w:color="auto" w:fill="auto"/>
            <w:vAlign w:val="center"/>
            <w:hideMark/>
          </w:tcPr>
          <w:p w14:paraId="4AD9E2BE" w14:textId="77777777" w:rsidR="00E321CD" w:rsidRPr="00235B17" w:rsidRDefault="00E321CD" w:rsidP="00987626">
            <w:pPr>
              <w:spacing w:after="0" w:line="240" w:lineRule="auto"/>
              <w:jc w:val="both"/>
              <w:rPr>
                <w:rFonts w:ascii="Times New Roman" w:eastAsia="Times New Roman" w:hAnsi="Times New Roman" w:cs="Times New Roman"/>
                <w:color w:val="000000"/>
                <w:sz w:val="20"/>
                <w:szCs w:val="20"/>
              </w:rPr>
            </w:pPr>
            <w:r w:rsidRPr="00235B17">
              <w:rPr>
                <w:rFonts w:ascii="Times New Roman" w:eastAsia="Times New Roman" w:hAnsi="Times New Roman" w:cs="Times New Roman"/>
                <w:color w:val="000000"/>
                <w:sz w:val="20"/>
                <w:szCs w:val="20"/>
              </w:rPr>
              <w:t>Botswana</w:t>
            </w:r>
          </w:p>
        </w:tc>
        <w:tc>
          <w:tcPr>
            <w:tcW w:w="2800" w:type="dxa"/>
            <w:tcBorders>
              <w:top w:val="nil"/>
              <w:left w:val="nil"/>
              <w:bottom w:val="single" w:sz="8" w:space="0" w:color="auto"/>
              <w:right w:val="single" w:sz="8" w:space="0" w:color="auto"/>
            </w:tcBorders>
            <w:shd w:val="clear" w:color="auto" w:fill="auto"/>
            <w:vAlign w:val="center"/>
            <w:hideMark/>
          </w:tcPr>
          <w:p w14:paraId="23DC7CC0" w14:textId="77777777" w:rsidR="00E321CD" w:rsidRPr="00235B17" w:rsidRDefault="00E321CD" w:rsidP="00987626">
            <w:pPr>
              <w:spacing w:after="0" w:line="240" w:lineRule="auto"/>
              <w:jc w:val="right"/>
              <w:rPr>
                <w:rFonts w:ascii="Times New Roman" w:eastAsia="Times New Roman" w:hAnsi="Times New Roman" w:cs="Times New Roman"/>
                <w:color w:val="000000"/>
                <w:sz w:val="20"/>
                <w:szCs w:val="20"/>
              </w:rPr>
            </w:pPr>
            <w:r w:rsidRPr="00235B17">
              <w:rPr>
                <w:rFonts w:ascii="Times New Roman" w:eastAsia="Times New Roman" w:hAnsi="Times New Roman" w:cs="Times New Roman"/>
                <w:color w:val="000000"/>
                <w:sz w:val="20"/>
                <w:szCs w:val="20"/>
              </w:rPr>
              <w:t>2,933,725</w:t>
            </w:r>
          </w:p>
        </w:tc>
      </w:tr>
      <w:tr w:rsidR="00E321CD" w:rsidRPr="00235B17" w14:paraId="5668745A" w14:textId="77777777" w:rsidTr="00987626">
        <w:trPr>
          <w:trHeight w:val="315"/>
        </w:trPr>
        <w:tc>
          <w:tcPr>
            <w:tcW w:w="2700" w:type="dxa"/>
            <w:tcBorders>
              <w:top w:val="nil"/>
              <w:left w:val="single" w:sz="8" w:space="0" w:color="auto"/>
              <w:bottom w:val="single" w:sz="8" w:space="0" w:color="auto"/>
              <w:right w:val="single" w:sz="8" w:space="0" w:color="auto"/>
            </w:tcBorders>
            <w:shd w:val="clear" w:color="auto" w:fill="auto"/>
            <w:vAlign w:val="center"/>
            <w:hideMark/>
          </w:tcPr>
          <w:p w14:paraId="1677E038" w14:textId="77777777" w:rsidR="00E321CD" w:rsidRPr="00235B17" w:rsidRDefault="00E321CD" w:rsidP="00987626">
            <w:pPr>
              <w:spacing w:after="0" w:line="240" w:lineRule="auto"/>
              <w:jc w:val="both"/>
              <w:rPr>
                <w:rFonts w:ascii="Times New Roman" w:eastAsia="Times New Roman" w:hAnsi="Times New Roman" w:cs="Times New Roman"/>
                <w:color w:val="000000"/>
                <w:sz w:val="20"/>
                <w:szCs w:val="20"/>
              </w:rPr>
            </w:pPr>
            <w:r w:rsidRPr="00235B17">
              <w:rPr>
                <w:rFonts w:ascii="Times New Roman" w:eastAsia="Times New Roman" w:hAnsi="Times New Roman" w:cs="Times New Roman"/>
                <w:color w:val="000000"/>
                <w:sz w:val="20"/>
                <w:szCs w:val="20"/>
              </w:rPr>
              <w:t>Zimbabwe</w:t>
            </w:r>
          </w:p>
        </w:tc>
        <w:tc>
          <w:tcPr>
            <w:tcW w:w="2800" w:type="dxa"/>
            <w:tcBorders>
              <w:top w:val="nil"/>
              <w:left w:val="nil"/>
              <w:bottom w:val="single" w:sz="8" w:space="0" w:color="auto"/>
              <w:right w:val="single" w:sz="8" w:space="0" w:color="auto"/>
            </w:tcBorders>
            <w:shd w:val="clear" w:color="auto" w:fill="auto"/>
            <w:vAlign w:val="center"/>
            <w:hideMark/>
          </w:tcPr>
          <w:p w14:paraId="0FE16EE8" w14:textId="77777777" w:rsidR="00E321CD" w:rsidRPr="00235B17" w:rsidRDefault="00E321CD" w:rsidP="00987626">
            <w:pPr>
              <w:spacing w:after="0" w:line="240" w:lineRule="auto"/>
              <w:jc w:val="right"/>
              <w:rPr>
                <w:rFonts w:ascii="Times New Roman" w:eastAsia="Times New Roman" w:hAnsi="Times New Roman" w:cs="Times New Roman"/>
                <w:color w:val="000000"/>
                <w:sz w:val="20"/>
                <w:szCs w:val="20"/>
              </w:rPr>
            </w:pPr>
            <w:r w:rsidRPr="00235B17">
              <w:rPr>
                <w:rFonts w:ascii="Times New Roman" w:eastAsia="Times New Roman" w:hAnsi="Times New Roman" w:cs="Times New Roman"/>
                <w:color w:val="000000"/>
                <w:sz w:val="20"/>
                <w:szCs w:val="20"/>
              </w:rPr>
              <w:t>50,426</w:t>
            </w:r>
          </w:p>
        </w:tc>
      </w:tr>
      <w:tr w:rsidR="00E321CD" w:rsidRPr="00235B17" w14:paraId="4D18823C" w14:textId="77777777" w:rsidTr="00987626">
        <w:trPr>
          <w:trHeight w:val="315"/>
        </w:trPr>
        <w:tc>
          <w:tcPr>
            <w:tcW w:w="2700" w:type="dxa"/>
            <w:tcBorders>
              <w:top w:val="nil"/>
              <w:left w:val="single" w:sz="8" w:space="0" w:color="auto"/>
              <w:bottom w:val="single" w:sz="8" w:space="0" w:color="auto"/>
              <w:right w:val="single" w:sz="8" w:space="0" w:color="auto"/>
            </w:tcBorders>
            <w:shd w:val="clear" w:color="auto" w:fill="auto"/>
            <w:vAlign w:val="center"/>
            <w:hideMark/>
          </w:tcPr>
          <w:p w14:paraId="004471C6" w14:textId="77777777" w:rsidR="00E321CD" w:rsidRPr="00235B17" w:rsidRDefault="00E321CD" w:rsidP="00987626">
            <w:pPr>
              <w:spacing w:after="0" w:line="240" w:lineRule="auto"/>
              <w:jc w:val="both"/>
              <w:rPr>
                <w:rFonts w:ascii="Times New Roman" w:eastAsia="Times New Roman" w:hAnsi="Times New Roman" w:cs="Times New Roman"/>
                <w:color w:val="000000"/>
                <w:sz w:val="20"/>
                <w:szCs w:val="20"/>
              </w:rPr>
            </w:pPr>
            <w:r w:rsidRPr="00235B17">
              <w:rPr>
                <w:rFonts w:ascii="Times New Roman" w:eastAsia="Times New Roman" w:hAnsi="Times New Roman" w:cs="Times New Roman"/>
                <w:color w:val="000000"/>
                <w:sz w:val="20"/>
                <w:szCs w:val="20"/>
              </w:rPr>
              <w:t>Zambia</w:t>
            </w:r>
          </w:p>
        </w:tc>
        <w:tc>
          <w:tcPr>
            <w:tcW w:w="2800" w:type="dxa"/>
            <w:tcBorders>
              <w:top w:val="nil"/>
              <w:left w:val="nil"/>
              <w:bottom w:val="single" w:sz="8" w:space="0" w:color="auto"/>
              <w:right w:val="single" w:sz="8" w:space="0" w:color="auto"/>
            </w:tcBorders>
            <w:shd w:val="clear" w:color="auto" w:fill="auto"/>
            <w:vAlign w:val="center"/>
            <w:hideMark/>
          </w:tcPr>
          <w:p w14:paraId="5CCD5A92" w14:textId="77777777" w:rsidR="00E321CD" w:rsidRPr="00235B17" w:rsidRDefault="00E321CD" w:rsidP="00987626">
            <w:pPr>
              <w:spacing w:after="0" w:line="240" w:lineRule="auto"/>
              <w:jc w:val="right"/>
              <w:rPr>
                <w:rFonts w:ascii="Times New Roman" w:eastAsia="Times New Roman" w:hAnsi="Times New Roman" w:cs="Times New Roman"/>
                <w:color w:val="000000"/>
                <w:sz w:val="20"/>
                <w:szCs w:val="20"/>
              </w:rPr>
            </w:pPr>
            <w:r w:rsidRPr="00235B17">
              <w:rPr>
                <w:rFonts w:ascii="Times New Roman" w:eastAsia="Times New Roman" w:hAnsi="Times New Roman" w:cs="Times New Roman"/>
                <w:color w:val="000000"/>
                <w:sz w:val="20"/>
                <w:szCs w:val="20"/>
              </w:rPr>
              <w:t>109,670</w:t>
            </w:r>
          </w:p>
        </w:tc>
      </w:tr>
      <w:tr w:rsidR="00E321CD" w:rsidRPr="00235B17" w14:paraId="16EED8CB" w14:textId="77777777" w:rsidTr="00987626">
        <w:trPr>
          <w:trHeight w:val="315"/>
        </w:trPr>
        <w:tc>
          <w:tcPr>
            <w:tcW w:w="2700" w:type="dxa"/>
            <w:tcBorders>
              <w:top w:val="nil"/>
              <w:left w:val="single" w:sz="8" w:space="0" w:color="auto"/>
              <w:bottom w:val="single" w:sz="8" w:space="0" w:color="auto"/>
              <w:right w:val="single" w:sz="8" w:space="0" w:color="auto"/>
            </w:tcBorders>
            <w:shd w:val="clear" w:color="auto" w:fill="auto"/>
            <w:vAlign w:val="center"/>
            <w:hideMark/>
          </w:tcPr>
          <w:p w14:paraId="40490EF0" w14:textId="77777777" w:rsidR="00E321CD" w:rsidRPr="00235B17" w:rsidRDefault="00E321CD" w:rsidP="00987626">
            <w:pPr>
              <w:spacing w:after="0" w:line="240" w:lineRule="auto"/>
              <w:jc w:val="both"/>
              <w:rPr>
                <w:rFonts w:ascii="Times New Roman" w:eastAsia="Times New Roman" w:hAnsi="Times New Roman" w:cs="Times New Roman"/>
                <w:color w:val="000000"/>
                <w:sz w:val="20"/>
                <w:szCs w:val="20"/>
              </w:rPr>
            </w:pPr>
            <w:r w:rsidRPr="00235B17">
              <w:rPr>
                <w:rFonts w:ascii="Times New Roman" w:eastAsia="Times New Roman" w:hAnsi="Times New Roman" w:cs="Times New Roman"/>
                <w:color w:val="000000"/>
                <w:sz w:val="20"/>
                <w:szCs w:val="20"/>
              </w:rPr>
              <w:t>Mauritius</w:t>
            </w:r>
          </w:p>
        </w:tc>
        <w:tc>
          <w:tcPr>
            <w:tcW w:w="2800" w:type="dxa"/>
            <w:tcBorders>
              <w:top w:val="nil"/>
              <w:left w:val="nil"/>
              <w:bottom w:val="single" w:sz="8" w:space="0" w:color="auto"/>
              <w:right w:val="single" w:sz="8" w:space="0" w:color="auto"/>
            </w:tcBorders>
            <w:shd w:val="clear" w:color="auto" w:fill="auto"/>
            <w:vAlign w:val="center"/>
            <w:hideMark/>
          </w:tcPr>
          <w:p w14:paraId="4DCEF08B" w14:textId="77777777" w:rsidR="00E321CD" w:rsidRPr="00235B17" w:rsidRDefault="00E321CD" w:rsidP="00987626">
            <w:pPr>
              <w:spacing w:after="0" w:line="240" w:lineRule="auto"/>
              <w:jc w:val="right"/>
              <w:rPr>
                <w:rFonts w:ascii="Times New Roman" w:eastAsia="Times New Roman" w:hAnsi="Times New Roman" w:cs="Times New Roman"/>
                <w:color w:val="000000"/>
                <w:sz w:val="20"/>
                <w:szCs w:val="20"/>
              </w:rPr>
            </w:pPr>
            <w:r w:rsidRPr="00235B17">
              <w:rPr>
                <w:rFonts w:ascii="Times New Roman" w:eastAsia="Times New Roman" w:hAnsi="Times New Roman" w:cs="Times New Roman"/>
                <w:color w:val="000000"/>
                <w:sz w:val="20"/>
                <w:szCs w:val="20"/>
              </w:rPr>
              <w:t>3,234</w:t>
            </w:r>
          </w:p>
        </w:tc>
      </w:tr>
      <w:tr w:rsidR="00E321CD" w:rsidRPr="00235B17" w14:paraId="3B5D9447" w14:textId="77777777" w:rsidTr="00987626">
        <w:trPr>
          <w:trHeight w:val="315"/>
        </w:trPr>
        <w:tc>
          <w:tcPr>
            <w:tcW w:w="2700" w:type="dxa"/>
            <w:tcBorders>
              <w:top w:val="nil"/>
              <w:left w:val="single" w:sz="8" w:space="0" w:color="auto"/>
              <w:bottom w:val="single" w:sz="8" w:space="0" w:color="auto"/>
              <w:right w:val="single" w:sz="8" w:space="0" w:color="auto"/>
            </w:tcBorders>
            <w:shd w:val="clear" w:color="auto" w:fill="auto"/>
            <w:vAlign w:val="center"/>
            <w:hideMark/>
          </w:tcPr>
          <w:p w14:paraId="63FFA47B" w14:textId="77777777" w:rsidR="00E321CD" w:rsidRPr="00235B17" w:rsidRDefault="00E321CD" w:rsidP="00987626">
            <w:pPr>
              <w:spacing w:after="0" w:line="240" w:lineRule="auto"/>
              <w:jc w:val="both"/>
              <w:rPr>
                <w:rFonts w:ascii="Times New Roman" w:eastAsia="Times New Roman" w:hAnsi="Times New Roman" w:cs="Times New Roman"/>
                <w:color w:val="000000"/>
                <w:sz w:val="20"/>
                <w:szCs w:val="20"/>
              </w:rPr>
            </w:pPr>
            <w:r w:rsidRPr="00235B17">
              <w:rPr>
                <w:rFonts w:ascii="Times New Roman" w:eastAsia="Times New Roman" w:hAnsi="Times New Roman" w:cs="Times New Roman"/>
                <w:color w:val="000000"/>
                <w:sz w:val="20"/>
                <w:szCs w:val="20"/>
              </w:rPr>
              <w:t>South Africa</w:t>
            </w:r>
          </w:p>
        </w:tc>
        <w:tc>
          <w:tcPr>
            <w:tcW w:w="2800" w:type="dxa"/>
            <w:tcBorders>
              <w:top w:val="nil"/>
              <w:left w:val="nil"/>
              <w:bottom w:val="single" w:sz="8" w:space="0" w:color="auto"/>
              <w:right w:val="single" w:sz="8" w:space="0" w:color="auto"/>
            </w:tcBorders>
            <w:shd w:val="clear" w:color="auto" w:fill="auto"/>
            <w:vAlign w:val="center"/>
            <w:hideMark/>
          </w:tcPr>
          <w:p w14:paraId="6156007D" w14:textId="77777777" w:rsidR="00E321CD" w:rsidRPr="00235B17" w:rsidRDefault="00E321CD" w:rsidP="00987626">
            <w:pPr>
              <w:spacing w:after="0" w:line="240" w:lineRule="auto"/>
              <w:jc w:val="right"/>
              <w:rPr>
                <w:rFonts w:ascii="Times New Roman" w:eastAsia="Times New Roman" w:hAnsi="Times New Roman" w:cs="Times New Roman"/>
                <w:color w:val="000000"/>
                <w:sz w:val="20"/>
                <w:szCs w:val="20"/>
              </w:rPr>
            </w:pPr>
            <w:r w:rsidRPr="00235B17">
              <w:rPr>
                <w:rFonts w:ascii="Times New Roman" w:eastAsia="Times New Roman" w:hAnsi="Times New Roman" w:cs="Times New Roman"/>
                <w:color w:val="000000"/>
                <w:sz w:val="20"/>
                <w:szCs w:val="20"/>
              </w:rPr>
              <w:t>18,551</w:t>
            </w:r>
          </w:p>
        </w:tc>
      </w:tr>
      <w:tr w:rsidR="00E321CD" w:rsidRPr="00235B17" w14:paraId="747B1336" w14:textId="77777777" w:rsidTr="00987626">
        <w:trPr>
          <w:trHeight w:val="315"/>
        </w:trPr>
        <w:tc>
          <w:tcPr>
            <w:tcW w:w="2700" w:type="dxa"/>
            <w:tcBorders>
              <w:top w:val="nil"/>
              <w:left w:val="single" w:sz="8" w:space="0" w:color="auto"/>
              <w:bottom w:val="nil"/>
              <w:right w:val="single" w:sz="8" w:space="0" w:color="auto"/>
            </w:tcBorders>
            <w:shd w:val="clear" w:color="auto" w:fill="auto"/>
            <w:vAlign w:val="center"/>
            <w:hideMark/>
          </w:tcPr>
          <w:p w14:paraId="100E2B9B" w14:textId="77777777" w:rsidR="00E321CD" w:rsidRPr="00235B17" w:rsidRDefault="00E321CD" w:rsidP="00987626">
            <w:pPr>
              <w:spacing w:after="0" w:line="240" w:lineRule="auto"/>
              <w:rPr>
                <w:rFonts w:ascii="Times New Roman" w:eastAsia="Times New Roman" w:hAnsi="Times New Roman" w:cs="Times New Roman"/>
                <w:color w:val="000000"/>
                <w:sz w:val="20"/>
                <w:szCs w:val="20"/>
              </w:rPr>
            </w:pPr>
            <w:r w:rsidRPr="00235B17">
              <w:rPr>
                <w:rFonts w:ascii="Times New Roman" w:eastAsia="Times New Roman" w:hAnsi="Times New Roman" w:cs="Times New Roman"/>
                <w:color w:val="000000"/>
                <w:sz w:val="20"/>
                <w:szCs w:val="20"/>
              </w:rPr>
              <w:t>Virgin Islands British</w:t>
            </w:r>
          </w:p>
        </w:tc>
        <w:tc>
          <w:tcPr>
            <w:tcW w:w="2800" w:type="dxa"/>
            <w:tcBorders>
              <w:top w:val="nil"/>
              <w:left w:val="nil"/>
              <w:bottom w:val="nil"/>
              <w:right w:val="single" w:sz="8" w:space="0" w:color="auto"/>
            </w:tcBorders>
            <w:shd w:val="clear" w:color="auto" w:fill="auto"/>
            <w:vAlign w:val="center"/>
            <w:hideMark/>
          </w:tcPr>
          <w:p w14:paraId="0AAB9B8C" w14:textId="77777777" w:rsidR="00E321CD" w:rsidRPr="00235B17" w:rsidRDefault="00E321CD" w:rsidP="00987626">
            <w:pPr>
              <w:spacing w:after="0" w:line="240" w:lineRule="auto"/>
              <w:jc w:val="right"/>
              <w:rPr>
                <w:rFonts w:ascii="Times New Roman" w:eastAsia="Times New Roman" w:hAnsi="Times New Roman" w:cs="Times New Roman"/>
                <w:color w:val="000000"/>
                <w:sz w:val="20"/>
                <w:szCs w:val="20"/>
              </w:rPr>
            </w:pPr>
            <w:r w:rsidRPr="00235B17">
              <w:rPr>
                <w:rFonts w:ascii="Times New Roman" w:eastAsia="Times New Roman" w:hAnsi="Times New Roman" w:cs="Times New Roman"/>
                <w:color w:val="000000"/>
                <w:sz w:val="20"/>
                <w:szCs w:val="20"/>
              </w:rPr>
              <w:t>2,451</w:t>
            </w:r>
          </w:p>
        </w:tc>
      </w:tr>
      <w:tr w:rsidR="00E321CD" w:rsidRPr="00235B17" w14:paraId="4B72993B" w14:textId="77777777" w:rsidTr="00987626">
        <w:trPr>
          <w:trHeight w:val="315"/>
        </w:trPr>
        <w:tc>
          <w:tcPr>
            <w:tcW w:w="2700" w:type="dxa"/>
            <w:tcBorders>
              <w:top w:val="nil"/>
              <w:left w:val="single" w:sz="8" w:space="0" w:color="auto"/>
              <w:bottom w:val="single" w:sz="8" w:space="0" w:color="auto"/>
              <w:right w:val="single" w:sz="8" w:space="0" w:color="auto"/>
            </w:tcBorders>
            <w:shd w:val="clear" w:color="auto" w:fill="auto"/>
            <w:vAlign w:val="center"/>
            <w:hideMark/>
          </w:tcPr>
          <w:p w14:paraId="309CF827" w14:textId="77777777" w:rsidR="00E321CD" w:rsidRPr="00235B17" w:rsidRDefault="00E321CD" w:rsidP="00987626">
            <w:pPr>
              <w:spacing w:after="0" w:line="240" w:lineRule="auto"/>
              <w:jc w:val="both"/>
              <w:rPr>
                <w:rFonts w:ascii="Times New Roman" w:eastAsia="Times New Roman" w:hAnsi="Times New Roman" w:cs="Times New Roman"/>
                <w:b/>
                <w:bCs/>
                <w:color w:val="000000"/>
                <w:sz w:val="20"/>
                <w:szCs w:val="20"/>
              </w:rPr>
            </w:pPr>
            <w:r w:rsidRPr="00235B17">
              <w:rPr>
                <w:rFonts w:ascii="Times New Roman" w:eastAsia="Times New Roman" w:hAnsi="Times New Roman" w:cs="Times New Roman"/>
                <w:b/>
                <w:bCs/>
                <w:color w:val="000000"/>
                <w:sz w:val="20"/>
                <w:szCs w:val="20"/>
              </w:rPr>
              <w:t>Total Gross Exposures</w:t>
            </w:r>
          </w:p>
        </w:tc>
        <w:tc>
          <w:tcPr>
            <w:tcW w:w="2800" w:type="dxa"/>
            <w:tcBorders>
              <w:top w:val="nil"/>
              <w:left w:val="nil"/>
              <w:bottom w:val="single" w:sz="8" w:space="0" w:color="auto"/>
              <w:right w:val="single" w:sz="8" w:space="0" w:color="auto"/>
            </w:tcBorders>
            <w:shd w:val="clear" w:color="auto" w:fill="auto"/>
            <w:vAlign w:val="center"/>
            <w:hideMark/>
          </w:tcPr>
          <w:p w14:paraId="10E8BBA0" w14:textId="77777777" w:rsidR="00E321CD" w:rsidRPr="00235B17" w:rsidRDefault="00E321CD" w:rsidP="00987626">
            <w:pPr>
              <w:spacing w:after="0" w:line="240" w:lineRule="auto"/>
              <w:jc w:val="right"/>
              <w:rPr>
                <w:rFonts w:ascii="Times New Roman" w:eastAsia="Times New Roman" w:hAnsi="Times New Roman" w:cs="Times New Roman"/>
                <w:b/>
                <w:bCs/>
                <w:color w:val="000000"/>
                <w:sz w:val="20"/>
                <w:szCs w:val="20"/>
              </w:rPr>
            </w:pPr>
            <w:r w:rsidRPr="00235B17">
              <w:rPr>
                <w:rFonts w:ascii="Times New Roman" w:eastAsia="Times New Roman" w:hAnsi="Times New Roman" w:cs="Times New Roman"/>
                <w:b/>
                <w:bCs/>
                <w:color w:val="000000"/>
                <w:sz w:val="20"/>
                <w:szCs w:val="20"/>
              </w:rPr>
              <w:t>3,118,057</w:t>
            </w:r>
          </w:p>
        </w:tc>
      </w:tr>
    </w:tbl>
    <w:p w14:paraId="26F496B6" w14:textId="77777777" w:rsidR="00E321CD" w:rsidRPr="00EF143A" w:rsidRDefault="00E321CD" w:rsidP="00E321CD">
      <w:pPr>
        <w:tabs>
          <w:tab w:val="left" w:pos="3447"/>
        </w:tabs>
        <w:jc w:val="both"/>
        <w:rPr>
          <w:rFonts w:ascii="Times New Roman" w:hAnsi="Times New Roman" w:cs="Times New Roman"/>
          <w:b/>
          <w:sz w:val="20"/>
          <w:szCs w:val="20"/>
        </w:rPr>
      </w:pPr>
      <w:r w:rsidRPr="00EF143A">
        <w:rPr>
          <w:rFonts w:ascii="Times New Roman" w:hAnsi="Times New Roman" w:cs="Times New Roman"/>
          <w:b/>
          <w:sz w:val="20"/>
          <w:szCs w:val="20"/>
        </w:rPr>
        <w:lastRenderedPageBreak/>
        <w:t>Industry or counter-party type distribution of exposures broken down by major types of credit exposures</w:t>
      </w:r>
    </w:p>
    <w:p w14:paraId="1046817D" w14:textId="7B88F6BD" w:rsidR="00E321CD" w:rsidRDefault="00E321CD" w:rsidP="00E321CD">
      <w:pPr>
        <w:tabs>
          <w:tab w:val="left" w:pos="3447"/>
        </w:tabs>
        <w:jc w:val="both"/>
      </w:pPr>
      <w:r>
        <w:rPr>
          <w:shd w:val="clear" w:color="auto" w:fill="FF0000"/>
        </w:rPr>
        <w:fldChar w:fldCharType="begin"/>
      </w:r>
      <w:r>
        <w:rPr>
          <w:shd w:val="clear" w:color="auto" w:fill="FF0000"/>
        </w:rPr>
        <w:instrText xml:space="preserve"> LINK Excel.Sheet.12 "\\\\cbbwfilestore\\risk2\\Credit Reporting\\Statutory Return\\2022\\Mar\\Pillar 3 Tables.xlsx" Industry!R2C3:R28C4 \a \f 4 \h </w:instrText>
      </w:r>
      <w:r w:rsidR="00DB464F">
        <w:rPr>
          <w:shd w:val="clear" w:color="auto" w:fill="FF0000"/>
        </w:rPr>
        <w:instrText xml:space="preserve"> \* MERGEFORMAT </w:instrText>
      </w:r>
      <w:r>
        <w:rPr>
          <w:shd w:val="clear" w:color="auto" w:fill="FF0000"/>
        </w:rPr>
        <w:fldChar w:fldCharType="separate"/>
      </w:r>
    </w:p>
    <w:tbl>
      <w:tblPr>
        <w:tblW w:w="6900" w:type="dxa"/>
        <w:tblLook w:val="04A0" w:firstRow="1" w:lastRow="0" w:firstColumn="1" w:lastColumn="0" w:noHBand="0" w:noVBand="1"/>
      </w:tblPr>
      <w:tblGrid>
        <w:gridCol w:w="3140"/>
        <w:gridCol w:w="3760"/>
      </w:tblGrid>
      <w:tr w:rsidR="00E321CD" w:rsidRPr="005D76AD" w14:paraId="1A9DAC69" w14:textId="77777777" w:rsidTr="00987626">
        <w:trPr>
          <w:trHeight w:val="315"/>
        </w:trPr>
        <w:tc>
          <w:tcPr>
            <w:tcW w:w="3140" w:type="dxa"/>
            <w:tcBorders>
              <w:top w:val="single" w:sz="8" w:space="0" w:color="auto"/>
              <w:left w:val="single" w:sz="8" w:space="0" w:color="auto"/>
              <w:bottom w:val="single" w:sz="8" w:space="0" w:color="auto"/>
              <w:right w:val="single" w:sz="8" w:space="0" w:color="auto"/>
            </w:tcBorders>
            <w:shd w:val="clear" w:color="000000" w:fill="92D050"/>
            <w:vAlign w:val="center"/>
            <w:hideMark/>
          </w:tcPr>
          <w:p w14:paraId="7BE242D1" w14:textId="77777777" w:rsidR="00E321CD" w:rsidRPr="005D76AD" w:rsidRDefault="00E321CD" w:rsidP="00987626">
            <w:pPr>
              <w:spacing w:after="0" w:line="240" w:lineRule="auto"/>
              <w:rPr>
                <w:rFonts w:ascii="Times New Roman" w:eastAsia="Times New Roman" w:hAnsi="Times New Roman" w:cs="Times New Roman"/>
                <w:b/>
                <w:bCs/>
                <w:color w:val="000000"/>
                <w:sz w:val="20"/>
                <w:szCs w:val="20"/>
              </w:rPr>
            </w:pPr>
            <w:r w:rsidRPr="005D76AD">
              <w:rPr>
                <w:rFonts w:ascii="Times New Roman" w:eastAsia="Times New Roman" w:hAnsi="Times New Roman" w:cs="Times New Roman"/>
                <w:b/>
                <w:bCs/>
                <w:color w:val="000000"/>
                <w:sz w:val="20"/>
                <w:szCs w:val="20"/>
              </w:rPr>
              <w:t>Industry</w:t>
            </w:r>
          </w:p>
        </w:tc>
        <w:tc>
          <w:tcPr>
            <w:tcW w:w="3760" w:type="dxa"/>
            <w:tcBorders>
              <w:top w:val="single" w:sz="8" w:space="0" w:color="auto"/>
              <w:left w:val="nil"/>
              <w:bottom w:val="single" w:sz="8" w:space="0" w:color="auto"/>
              <w:right w:val="single" w:sz="8" w:space="0" w:color="auto"/>
            </w:tcBorders>
            <w:shd w:val="clear" w:color="000000" w:fill="92D050"/>
            <w:vAlign w:val="center"/>
            <w:hideMark/>
          </w:tcPr>
          <w:p w14:paraId="322A44C9" w14:textId="77777777" w:rsidR="00E321CD" w:rsidRPr="005D76AD" w:rsidRDefault="00E321CD" w:rsidP="00987626">
            <w:pPr>
              <w:spacing w:after="0" w:line="240" w:lineRule="auto"/>
              <w:jc w:val="right"/>
              <w:rPr>
                <w:rFonts w:ascii="Times New Roman" w:eastAsia="Times New Roman" w:hAnsi="Times New Roman" w:cs="Times New Roman"/>
                <w:b/>
                <w:bCs/>
                <w:color w:val="000000"/>
                <w:sz w:val="20"/>
                <w:szCs w:val="20"/>
              </w:rPr>
            </w:pPr>
            <w:r w:rsidRPr="005D76AD">
              <w:rPr>
                <w:rFonts w:ascii="Times New Roman" w:eastAsia="Times New Roman" w:hAnsi="Times New Roman" w:cs="Times New Roman"/>
                <w:b/>
                <w:bCs/>
                <w:color w:val="000000"/>
                <w:sz w:val="20"/>
                <w:szCs w:val="20"/>
              </w:rPr>
              <w:t>As at 31 March 2022</w:t>
            </w:r>
          </w:p>
        </w:tc>
      </w:tr>
      <w:tr w:rsidR="00E321CD" w:rsidRPr="005D76AD" w14:paraId="3FD79AAE" w14:textId="77777777" w:rsidTr="00987626">
        <w:trPr>
          <w:trHeight w:val="315"/>
        </w:trPr>
        <w:tc>
          <w:tcPr>
            <w:tcW w:w="3140" w:type="dxa"/>
            <w:tcBorders>
              <w:top w:val="nil"/>
              <w:left w:val="single" w:sz="8" w:space="0" w:color="auto"/>
              <w:bottom w:val="single" w:sz="8" w:space="0" w:color="auto"/>
              <w:right w:val="single" w:sz="8" w:space="0" w:color="auto"/>
            </w:tcBorders>
            <w:shd w:val="clear" w:color="000000" w:fill="FFFFFF"/>
            <w:vAlign w:val="center"/>
            <w:hideMark/>
          </w:tcPr>
          <w:p w14:paraId="2DEC065F"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 xml:space="preserve"> Central Government</w:t>
            </w:r>
          </w:p>
        </w:tc>
        <w:tc>
          <w:tcPr>
            <w:tcW w:w="3760" w:type="dxa"/>
            <w:tcBorders>
              <w:top w:val="nil"/>
              <w:left w:val="nil"/>
              <w:bottom w:val="single" w:sz="8" w:space="0" w:color="auto"/>
              <w:right w:val="single" w:sz="8" w:space="0" w:color="auto"/>
            </w:tcBorders>
            <w:shd w:val="clear" w:color="000000" w:fill="FFFFFF"/>
            <w:vAlign w:val="center"/>
            <w:hideMark/>
          </w:tcPr>
          <w:p w14:paraId="52BD3643" w14:textId="589A8AAB" w:rsidR="00E321CD" w:rsidRPr="005D76AD" w:rsidRDefault="00176081" w:rsidP="0098762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E321CD" w:rsidRPr="005D76AD" w14:paraId="1D7B28CE" w14:textId="77777777" w:rsidTr="00987626">
        <w:trPr>
          <w:trHeight w:val="315"/>
        </w:trPr>
        <w:tc>
          <w:tcPr>
            <w:tcW w:w="3140" w:type="dxa"/>
            <w:tcBorders>
              <w:top w:val="nil"/>
              <w:left w:val="single" w:sz="8" w:space="0" w:color="auto"/>
              <w:bottom w:val="single" w:sz="8" w:space="0" w:color="auto"/>
              <w:right w:val="single" w:sz="8" w:space="0" w:color="auto"/>
            </w:tcBorders>
            <w:shd w:val="clear" w:color="000000" w:fill="FFFFFF"/>
            <w:vAlign w:val="center"/>
            <w:hideMark/>
          </w:tcPr>
          <w:p w14:paraId="4D55E618"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 xml:space="preserve"> Local Government</w:t>
            </w:r>
          </w:p>
        </w:tc>
        <w:tc>
          <w:tcPr>
            <w:tcW w:w="3760" w:type="dxa"/>
            <w:tcBorders>
              <w:top w:val="nil"/>
              <w:left w:val="nil"/>
              <w:bottom w:val="single" w:sz="8" w:space="0" w:color="auto"/>
              <w:right w:val="single" w:sz="8" w:space="0" w:color="auto"/>
            </w:tcBorders>
            <w:shd w:val="clear" w:color="000000" w:fill="FFFFFF"/>
            <w:vAlign w:val="center"/>
            <w:hideMark/>
          </w:tcPr>
          <w:p w14:paraId="7368FB3C" w14:textId="4D851C19" w:rsidR="00E321CD" w:rsidRPr="005D76AD" w:rsidRDefault="00176081" w:rsidP="0098762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E321CD" w:rsidRPr="005D76AD" w14:paraId="7151FB22" w14:textId="77777777" w:rsidTr="00987626">
        <w:trPr>
          <w:trHeight w:val="315"/>
        </w:trPr>
        <w:tc>
          <w:tcPr>
            <w:tcW w:w="3140" w:type="dxa"/>
            <w:tcBorders>
              <w:top w:val="nil"/>
              <w:left w:val="single" w:sz="8" w:space="0" w:color="auto"/>
              <w:bottom w:val="single" w:sz="8" w:space="0" w:color="auto"/>
              <w:right w:val="single" w:sz="8" w:space="0" w:color="auto"/>
            </w:tcBorders>
            <w:shd w:val="clear" w:color="000000" w:fill="FFFFFF"/>
            <w:vAlign w:val="center"/>
            <w:hideMark/>
          </w:tcPr>
          <w:p w14:paraId="18D931FE"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 xml:space="preserve"> Public Non-Financial Corporations</w:t>
            </w:r>
          </w:p>
        </w:tc>
        <w:tc>
          <w:tcPr>
            <w:tcW w:w="3760" w:type="dxa"/>
            <w:tcBorders>
              <w:top w:val="nil"/>
              <w:left w:val="nil"/>
              <w:bottom w:val="single" w:sz="8" w:space="0" w:color="auto"/>
              <w:right w:val="single" w:sz="8" w:space="0" w:color="auto"/>
            </w:tcBorders>
            <w:shd w:val="clear" w:color="000000" w:fill="FFFFFF"/>
            <w:vAlign w:val="center"/>
            <w:hideMark/>
          </w:tcPr>
          <w:p w14:paraId="5F5F97DE" w14:textId="70212A72" w:rsidR="00E321CD" w:rsidRPr="005D76AD" w:rsidRDefault="00176081" w:rsidP="0098762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E321CD" w:rsidRPr="005D76AD" w14:paraId="5E46A793" w14:textId="77777777" w:rsidTr="00987626">
        <w:trPr>
          <w:trHeight w:val="315"/>
        </w:trPr>
        <w:tc>
          <w:tcPr>
            <w:tcW w:w="3140" w:type="dxa"/>
            <w:tcBorders>
              <w:top w:val="nil"/>
              <w:left w:val="single" w:sz="8" w:space="0" w:color="auto"/>
              <w:bottom w:val="single" w:sz="8" w:space="0" w:color="auto"/>
              <w:right w:val="single" w:sz="8" w:space="0" w:color="auto"/>
            </w:tcBorders>
            <w:shd w:val="clear" w:color="000000" w:fill="FFFFFF"/>
            <w:vAlign w:val="center"/>
            <w:hideMark/>
          </w:tcPr>
          <w:p w14:paraId="711C3F3C"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Agriculture, Forestry, Fishing</w:t>
            </w:r>
          </w:p>
        </w:tc>
        <w:tc>
          <w:tcPr>
            <w:tcW w:w="3760" w:type="dxa"/>
            <w:tcBorders>
              <w:top w:val="nil"/>
              <w:left w:val="nil"/>
              <w:bottom w:val="single" w:sz="8" w:space="0" w:color="auto"/>
              <w:right w:val="single" w:sz="8" w:space="0" w:color="auto"/>
            </w:tcBorders>
            <w:shd w:val="clear" w:color="000000" w:fill="FFFFFF"/>
            <w:vAlign w:val="center"/>
            <w:hideMark/>
          </w:tcPr>
          <w:p w14:paraId="63B2D29C"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26,584</w:t>
            </w:r>
          </w:p>
        </w:tc>
      </w:tr>
      <w:tr w:rsidR="00E321CD" w:rsidRPr="005D76AD" w14:paraId="288FC90E" w14:textId="77777777" w:rsidTr="00987626">
        <w:trPr>
          <w:trHeight w:val="315"/>
        </w:trPr>
        <w:tc>
          <w:tcPr>
            <w:tcW w:w="3140" w:type="dxa"/>
            <w:tcBorders>
              <w:top w:val="nil"/>
              <w:left w:val="single" w:sz="8" w:space="0" w:color="auto"/>
              <w:bottom w:val="single" w:sz="8" w:space="0" w:color="auto"/>
              <w:right w:val="single" w:sz="8" w:space="0" w:color="auto"/>
            </w:tcBorders>
            <w:shd w:val="clear" w:color="000000" w:fill="FFFFFF"/>
            <w:vAlign w:val="center"/>
            <w:hideMark/>
          </w:tcPr>
          <w:p w14:paraId="5797AABC"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Mining and Quarrying</w:t>
            </w:r>
          </w:p>
        </w:tc>
        <w:tc>
          <w:tcPr>
            <w:tcW w:w="3760" w:type="dxa"/>
            <w:tcBorders>
              <w:top w:val="nil"/>
              <w:left w:val="nil"/>
              <w:bottom w:val="single" w:sz="8" w:space="0" w:color="auto"/>
              <w:right w:val="single" w:sz="8" w:space="0" w:color="auto"/>
            </w:tcBorders>
            <w:shd w:val="clear" w:color="000000" w:fill="FFFFFF"/>
            <w:vAlign w:val="center"/>
            <w:hideMark/>
          </w:tcPr>
          <w:p w14:paraId="707DE38F"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23,940</w:t>
            </w:r>
          </w:p>
        </w:tc>
      </w:tr>
      <w:tr w:rsidR="00E321CD" w:rsidRPr="005D76AD" w14:paraId="6A5EB152" w14:textId="77777777" w:rsidTr="00987626">
        <w:trPr>
          <w:trHeight w:val="315"/>
        </w:trPr>
        <w:tc>
          <w:tcPr>
            <w:tcW w:w="3140" w:type="dxa"/>
            <w:tcBorders>
              <w:top w:val="nil"/>
              <w:left w:val="single" w:sz="8" w:space="0" w:color="auto"/>
              <w:bottom w:val="single" w:sz="8" w:space="0" w:color="auto"/>
              <w:right w:val="single" w:sz="8" w:space="0" w:color="auto"/>
            </w:tcBorders>
            <w:shd w:val="clear" w:color="000000" w:fill="FFFFFF"/>
            <w:vAlign w:val="center"/>
            <w:hideMark/>
          </w:tcPr>
          <w:p w14:paraId="2F20EB57"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Manufacturing</w:t>
            </w:r>
          </w:p>
        </w:tc>
        <w:tc>
          <w:tcPr>
            <w:tcW w:w="3760" w:type="dxa"/>
            <w:tcBorders>
              <w:top w:val="nil"/>
              <w:left w:val="nil"/>
              <w:bottom w:val="single" w:sz="8" w:space="0" w:color="auto"/>
              <w:right w:val="single" w:sz="8" w:space="0" w:color="auto"/>
            </w:tcBorders>
            <w:shd w:val="clear" w:color="000000" w:fill="FFFFFF"/>
            <w:vAlign w:val="center"/>
            <w:hideMark/>
          </w:tcPr>
          <w:p w14:paraId="1CF12680"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81,426</w:t>
            </w:r>
          </w:p>
        </w:tc>
      </w:tr>
      <w:tr w:rsidR="00E321CD" w:rsidRPr="005D76AD" w14:paraId="61ED9F22" w14:textId="77777777" w:rsidTr="00987626">
        <w:trPr>
          <w:trHeight w:val="315"/>
        </w:trPr>
        <w:tc>
          <w:tcPr>
            <w:tcW w:w="3140" w:type="dxa"/>
            <w:tcBorders>
              <w:top w:val="nil"/>
              <w:left w:val="single" w:sz="8" w:space="0" w:color="auto"/>
              <w:bottom w:val="single" w:sz="8" w:space="0" w:color="auto"/>
              <w:right w:val="single" w:sz="8" w:space="0" w:color="auto"/>
            </w:tcBorders>
            <w:shd w:val="clear" w:color="000000" w:fill="FFFFFF"/>
            <w:vAlign w:val="center"/>
            <w:hideMark/>
          </w:tcPr>
          <w:p w14:paraId="4DC5992A"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Construction</w:t>
            </w:r>
          </w:p>
        </w:tc>
        <w:tc>
          <w:tcPr>
            <w:tcW w:w="3760" w:type="dxa"/>
            <w:tcBorders>
              <w:top w:val="nil"/>
              <w:left w:val="nil"/>
              <w:bottom w:val="single" w:sz="8" w:space="0" w:color="auto"/>
              <w:right w:val="single" w:sz="8" w:space="0" w:color="auto"/>
            </w:tcBorders>
            <w:shd w:val="clear" w:color="000000" w:fill="FFFFFF"/>
            <w:vAlign w:val="center"/>
            <w:hideMark/>
          </w:tcPr>
          <w:p w14:paraId="3091BC32"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170,450</w:t>
            </w:r>
          </w:p>
        </w:tc>
      </w:tr>
      <w:tr w:rsidR="00E321CD" w:rsidRPr="005D76AD" w14:paraId="4A64DA71" w14:textId="77777777" w:rsidTr="00987626">
        <w:trPr>
          <w:trHeight w:val="315"/>
        </w:trPr>
        <w:tc>
          <w:tcPr>
            <w:tcW w:w="3140" w:type="dxa"/>
            <w:tcBorders>
              <w:top w:val="nil"/>
              <w:left w:val="single" w:sz="8" w:space="0" w:color="auto"/>
              <w:bottom w:val="single" w:sz="8" w:space="0" w:color="auto"/>
              <w:right w:val="single" w:sz="8" w:space="0" w:color="auto"/>
            </w:tcBorders>
            <w:shd w:val="clear" w:color="000000" w:fill="FFFFFF"/>
            <w:vAlign w:val="center"/>
            <w:hideMark/>
          </w:tcPr>
          <w:p w14:paraId="73FEB470"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Commercial real estate</w:t>
            </w:r>
          </w:p>
        </w:tc>
        <w:tc>
          <w:tcPr>
            <w:tcW w:w="3760" w:type="dxa"/>
            <w:tcBorders>
              <w:top w:val="nil"/>
              <w:left w:val="nil"/>
              <w:bottom w:val="single" w:sz="8" w:space="0" w:color="auto"/>
              <w:right w:val="single" w:sz="8" w:space="0" w:color="auto"/>
            </w:tcBorders>
            <w:shd w:val="clear" w:color="000000" w:fill="FFFFFF"/>
            <w:vAlign w:val="center"/>
            <w:hideMark/>
          </w:tcPr>
          <w:p w14:paraId="0D5D2BC5"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466,372</w:t>
            </w:r>
          </w:p>
        </w:tc>
      </w:tr>
      <w:tr w:rsidR="00E321CD" w:rsidRPr="005D76AD" w14:paraId="1189124F" w14:textId="77777777" w:rsidTr="00987626">
        <w:trPr>
          <w:trHeight w:val="315"/>
        </w:trPr>
        <w:tc>
          <w:tcPr>
            <w:tcW w:w="3140" w:type="dxa"/>
            <w:tcBorders>
              <w:top w:val="nil"/>
              <w:left w:val="single" w:sz="8" w:space="0" w:color="auto"/>
              <w:bottom w:val="single" w:sz="8" w:space="0" w:color="auto"/>
              <w:right w:val="single" w:sz="8" w:space="0" w:color="auto"/>
            </w:tcBorders>
            <w:shd w:val="clear" w:color="000000" w:fill="FFFFFF"/>
            <w:vAlign w:val="center"/>
            <w:hideMark/>
          </w:tcPr>
          <w:p w14:paraId="1A1CEB88"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Electricity</w:t>
            </w:r>
          </w:p>
        </w:tc>
        <w:tc>
          <w:tcPr>
            <w:tcW w:w="3760" w:type="dxa"/>
            <w:tcBorders>
              <w:top w:val="nil"/>
              <w:left w:val="nil"/>
              <w:bottom w:val="single" w:sz="8" w:space="0" w:color="auto"/>
              <w:right w:val="single" w:sz="8" w:space="0" w:color="auto"/>
            </w:tcBorders>
            <w:shd w:val="clear" w:color="000000" w:fill="FFFFFF"/>
            <w:vAlign w:val="center"/>
            <w:hideMark/>
          </w:tcPr>
          <w:p w14:paraId="62848903"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14,701</w:t>
            </w:r>
          </w:p>
        </w:tc>
      </w:tr>
      <w:tr w:rsidR="00E321CD" w:rsidRPr="005D76AD" w14:paraId="43841643" w14:textId="77777777" w:rsidTr="00987626">
        <w:trPr>
          <w:trHeight w:val="315"/>
        </w:trPr>
        <w:tc>
          <w:tcPr>
            <w:tcW w:w="3140" w:type="dxa"/>
            <w:tcBorders>
              <w:top w:val="nil"/>
              <w:left w:val="single" w:sz="8" w:space="0" w:color="auto"/>
              <w:bottom w:val="single" w:sz="8" w:space="0" w:color="auto"/>
              <w:right w:val="single" w:sz="8" w:space="0" w:color="auto"/>
            </w:tcBorders>
            <w:shd w:val="clear" w:color="000000" w:fill="FFFFFF"/>
            <w:vAlign w:val="center"/>
            <w:hideMark/>
          </w:tcPr>
          <w:p w14:paraId="5290087C"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Water</w:t>
            </w:r>
          </w:p>
        </w:tc>
        <w:tc>
          <w:tcPr>
            <w:tcW w:w="3760" w:type="dxa"/>
            <w:tcBorders>
              <w:top w:val="nil"/>
              <w:left w:val="nil"/>
              <w:bottom w:val="single" w:sz="8" w:space="0" w:color="auto"/>
              <w:right w:val="single" w:sz="8" w:space="0" w:color="auto"/>
            </w:tcBorders>
            <w:shd w:val="clear" w:color="000000" w:fill="FFFFFF"/>
            <w:vAlign w:val="center"/>
            <w:hideMark/>
          </w:tcPr>
          <w:p w14:paraId="7AA26831" w14:textId="42BF9D5C" w:rsidR="00E321CD" w:rsidRPr="005D76AD" w:rsidRDefault="00980180" w:rsidP="0098762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E321CD" w:rsidRPr="005D76AD" w14:paraId="0F1B5327" w14:textId="77777777" w:rsidTr="00987626">
        <w:trPr>
          <w:trHeight w:val="315"/>
        </w:trPr>
        <w:tc>
          <w:tcPr>
            <w:tcW w:w="3140" w:type="dxa"/>
            <w:tcBorders>
              <w:top w:val="nil"/>
              <w:left w:val="single" w:sz="8" w:space="0" w:color="auto"/>
              <w:bottom w:val="single" w:sz="8" w:space="0" w:color="auto"/>
              <w:right w:val="single" w:sz="8" w:space="0" w:color="auto"/>
            </w:tcBorders>
            <w:shd w:val="clear" w:color="000000" w:fill="FFFFFF"/>
            <w:vAlign w:val="center"/>
            <w:hideMark/>
          </w:tcPr>
          <w:p w14:paraId="3D56E8EC"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 xml:space="preserve">Telecommunication and post </w:t>
            </w:r>
          </w:p>
        </w:tc>
        <w:tc>
          <w:tcPr>
            <w:tcW w:w="3760" w:type="dxa"/>
            <w:tcBorders>
              <w:top w:val="nil"/>
              <w:left w:val="nil"/>
              <w:bottom w:val="single" w:sz="8" w:space="0" w:color="auto"/>
              <w:right w:val="single" w:sz="8" w:space="0" w:color="auto"/>
            </w:tcBorders>
            <w:shd w:val="clear" w:color="000000" w:fill="FFFFFF"/>
            <w:vAlign w:val="center"/>
            <w:hideMark/>
          </w:tcPr>
          <w:p w14:paraId="4A3284BE"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8,813</w:t>
            </w:r>
          </w:p>
        </w:tc>
      </w:tr>
      <w:tr w:rsidR="00E321CD" w:rsidRPr="005D76AD" w14:paraId="521CA72B" w14:textId="77777777" w:rsidTr="00987626">
        <w:trPr>
          <w:trHeight w:val="315"/>
        </w:trPr>
        <w:tc>
          <w:tcPr>
            <w:tcW w:w="3140" w:type="dxa"/>
            <w:tcBorders>
              <w:top w:val="nil"/>
              <w:left w:val="single" w:sz="8" w:space="0" w:color="auto"/>
              <w:bottom w:val="single" w:sz="8" w:space="0" w:color="auto"/>
              <w:right w:val="single" w:sz="8" w:space="0" w:color="auto"/>
            </w:tcBorders>
            <w:shd w:val="clear" w:color="000000" w:fill="FFFFFF"/>
            <w:vAlign w:val="center"/>
            <w:hideMark/>
          </w:tcPr>
          <w:p w14:paraId="2651C8C0"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Tourism and hotels</w:t>
            </w:r>
          </w:p>
        </w:tc>
        <w:tc>
          <w:tcPr>
            <w:tcW w:w="3760" w:type="dxa"/>
            <w:tcBorders>
              <w:top w:val="nil"/>
              <w:left w:val="nil"/>
              <w:bottom w:val="single" w:sz="8" w:space="0" w:color="auto"/>
              <w:right w:val="single" w:sz="8" w:space="0" w:color="auto"/>
            </w:tcBorders>
            <w:shd w:val="clear" w:color="000000" w:fill="FFFFFF"/>
            <w:vAlign w:val="center"/>
            <w:hideMark/>
          </w:tcPr>
          <w:p w14:paraId="2A8F2F77"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2,293</w:t>
            </w:r>
          </w:p>
        </w:tc>
      </w:tr>
      <w:tr w:rsidR="00E321CD" w:rsidRPr="005D76AD" w14:paraId="152C9D29" w14:textId="77777777" w:rsidTr="00987626">
        <w:trPr>
          <w:trHeight w:val="315"/>
        </w:trPr>
        <w:tc>
          <w:tcPr>
            <w:tcW w:w="3140" w:type="dxa"/>
            <w:tcBorders>
              <w:top w:val="nil"/>
              <w:left w:val="single" w:sz="8" w:space="0" w:color="auto"/>
              <w:bottom w:val="single" w:sz="8" w:space="0" w:color="auto"/>
              <w:right w:val="single" w:sz="8" w:space="0" w:color="auto"/>
            </w:tcBorders>
            <w:shd w:val="clear" w:color="000000" w:fill="FFFFFF"/>
            <w:vAlign w:val="center"/>
            <w:hideMark/>
          </w:tcPr>
          <w:p w14:paraId="30460CA4"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Transport and storage</w:t>
            </w:r>
          </w:p>
        </w:tc>
        <w:tc>
          <w:tcPr>
            <w:tcW w:w="3760" w:type="dxa"/>
            <w:tcBorders>
              <w:top w:val="nil"/>
              <w:left w:val="nil"/>
              <w:bottom w:val="single" w:sz="8" w:space="0" w:color="auto"/>
              <w:right w:val="single" w:sz="8" w:space="0" w:color="auto"/>
            </w:tcBorders>
            <w:shd w:val="clear" w:color="000000" w:fill="FFFFFF"/>
            <w:vAlign w:val="center"/>
            <w:hideMark/>
          </w:tcPr>
          <w:p w14:paraId="0A5FB843"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27,479</w:t>
            </w:r>
          </w:p>
        </w:tc>
      </w:tr>
      <w:tr w:rsidR="00E321CD" w:rsidRPr="005D76AD" w14:paraId="1F9124A1" w14:textId="77777777" w:rsidTr="00987626">
        <w:trPr>
          <w:trHeight w:val="315"/>
        </w:trPr>
        <w:tc>
          <w:tcPr>
            <w:tcW w:w="3140" w:type="dxa"/>
            <w:tcBorders>
              <w:top w:val="nil"/>
              <w:left w:val="single" w:sz="8" w:space="0" w:color="auto"/>
              <w:bottom w:val="single" w:sz="8" w:space="0" w:color="auto"/>
              <w:right w:val="single" w:sz="8" w:space="0" w:color="auto"/>
            </w:tcBorders>
            <w:shd w:val="clear" w:color="000000" w:fill="FFFFFF"/>
            <w:vAlign w:val="center"/>
            <w:hideMark/>
          </w:tcPr>
          <w:p w14:paraId="6B95F7EC"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Trade, restaurants and bars</w:t>
            </w:r>
          </w:p>
        </w:tc>
        <w:tc>
          <w:tcPr>
            <w:tcW w:w="3760" w:type="dxa"/>
            <w:tcBorders>
              <w:top w:val="nil"/>
              <w:left w:val="nil"/>
              <w:bottom w:val="single" w:sz="8" w:space="0" w:color="auto"/>
              <w:right w:val="single" w:sz="8" w:space="0" w:color="auto"/>
            </w:tcBorders>
            <w:shd w:val="clear" w:color="000000" w:fill="FFFFFF"/>
            <w:vAlign w:val="center"/>
            <w:hideMark/>
          </w:tcPr>
          <w:p w14:paraId="73550441"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262,040</w:t>
            </w:r>
          </w:p>
        </w:tc>
      </w:tr>
      <w:tr w:rsidR="00E321CD" w:rsidRPr="005D76AD" w14:paraId="6800C2E2" w14:textId="77777777" w:rsidTr="00987626">
        <w:trPr>
          <w:trHeight w:val="315"/>
        </w:trPr>
        <w:tc>
          <w:tcPr>
            <w:tcW w:w="3140" w:type="dxa"/>
            <w:tcBorders>
              <w:top w:val="nil"/>
              <w:left w:val="single" w:sz="8" w:space="0" w:color="auto"/>
              <w:bottom w:val="single" w:sz="8" w:space="0" w:color="auto"/>
              <w:right w:val="single" w:sz="8" w:space="0" w:color="auto"/>
            </w:tcBorders>
            <w:shd w:val="clear" w:color="000000" w:fill="FFFFFF"/>
            <w:vAlign w:val="center"/>
            <w:hideMark/>
          </w:tcPr>
          <w:p w14:paraId="1E370770"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 xml:space="preserve"> Business services</w:t>
            </w:r>
          </w:p>
        </w:tc>
        <w:tc>
          <w:tcPr>
            <w:tcW w:w="3760" w:type="dxa"/>
            <w:tcBorders>
              <w:top w:val="nil"/>
              <w:left w:val="nil"/>
              <w:bottom w:val="single" w:sz="8" w:space="0" w:color="auto"/>
              <w:right w:val="single" w:sz="8" w:space="0" w:color="auto"/>
            </w:tcBorders>
            <w:shd w:val="clear" w:color="000000" w:fill="FFFFFF"/>
            <w:vAlign w:val="center"/>
            <w:hideMark/>
          </w:tcPr>
          <w:p w14:paraId="40250A16"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120,533</w:t>
            </w:r>
          </w:p>
        </w:tc>
      </w:tr>
      <w:tr w:rsidR="00E321CD" w:rsidRPr="005D76AD" w14:paraId="5131DD61" w14:textId="77777777" w:rsidTr="00987626">
        <w:trPr>
          <w:trHeight w:val="525"/>
        </w:trPr>
        <w:tc>
          <w:tcPr>
            <w:tcW w:w="3140" w:type="dxa"/>
            <w:tcBorders>
              <w:top w:val="nil"/>
              <w:left w:val="single" w:sz="8" w:space="0" w:color="auto"/>
              <w:bottom w:val="single" w:sz="8" w:space="0" w:color="auto"/>
              <w:right w:val="single" w:sz="8" w:space="0" w:color="auto"/>
            </w:tcBorders>
            <w:shd w:val="clear" w:color="000000" w:fill="FFFFFF"/>
            <w:vAlign w:val="center"/>
            <w:hideMark/>
          </w:tcPr>
          <w:p w14:paraId="00415097"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Other community, social and personal services</w:t>
            </w:r>
          </w:p>
        </w:tc>
        <w:tc>
          <w:tcPr>
            <w:tcW w:w="3760" w:type="dxa"/>
            <w:tcBorders>
              <w:top w:val="nil"/>
              <w:left w:val="nil"/>
              <w:bottom w:val="single" w:sz="8" w:space="0" w:color="auto"/>
              <w:right w:val="single" w:sz="8" w:space="0" w:color="auto"/>
            </w:tcBorders>
            <w:shd w:val="clear" w:color="000000" w:fill="FFFFFF"/>
            <w:vAlign w:val="center"/>
            <w:hideMark/>
          </w:tcPr>
          <w:p w14:paraId="64BD6754"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17,741</w:t>
            </w:r>
          </w:p>
        </w:tc>
      </w:tr>
      <w:tr w:rsidR="00E321CD" w:rsidRPr="005D76AD" w14:paraId="7D627CDB" w14:textId="77777777" w:rsidTr="00987626">
        <w:trPr>
          <w:trHeight w:val="525"/>
        </w:trPr>
        <w:tc>
          <w:tcPr>
            <w:tcW w:w="3140" w:type="dxa"/>
            <w:tcBorders>
              <w:top w:val="nil"/>
              <w:left w:val="single" w:sz="8" w:space="0" w:color="auto"/>
              <w:bottom w:val="single" w:sz="8" w:space="0" w:color="auto"/>
              <w:right w:val="single" w:sz="8" w:space="0" w:color="auto"/>
            </w:tcBorders>
            <w:shd w:val="clear" w:color="000000" w:fill="FFFFFF"/>
            <w:vAlign w:val="center"/>
            <w:hideMark/>
          </w:tcPr>
          <w:p w14:paraId="0106AEA1" w14:textId="77777777" w:rsidR="00E321CD" w:rsidRPr="005D76AD" w:rsidRDefault="00E321CD" w:rsidP="00987626">
            <w:pPr>
              <w:spacing w:after="0" w:line="240" w:lineRule="auto"/>
              <w:jc w:val="both"/>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 xml:space="preserve">Residential property (owner occupied) </w:t>
            </w:r>
          </w:p>
        </w:tc>
        <w:tc>
          <w:tcPr>
            <w:tcW w:w="3760" w:type="dxa"/>
            <w:tcBorders>
              <w:top w:val="nil"/>
              <w:left w:val="nil"/>
              <w:bottom w:val="single" w:sz="8" w:space="0" w:color="auto"/>
              <w:right w:val="single" w:sz="8" w:space="0" w:color="auto"/>
            </w:tcBorders>
            <w:shd w:val="clear" w:color="000000" w:fill="FFFFFF"/>
            <w:vAlign w:val="center"/>
            <w:hideMark/>
          </w:tcPr>
          <w:p w14:paraId="7866088A" w14:textId="60E1382C"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60,05</w:t>
            </w:r>
            <w:r w:rsidR="00CD1A6C">
              <w:rPr>
                <w:rFonts w:ascii="Times New Roman" w:eastAsia="Times New Roman" w:hAnsi="Times New Roman" w:cs="Times New Roman"/>
                <w:color w:val="000000"/>
                <w:sz w:val="20"/>
                <w:szCs w:val="20"/>
              </w:rPr>
              <w:t>5</w:t>
            </w:r>
          </w:p>
        </w:tc>
      </w:tr>
      <w:tr w:rsidR="00E321CD" w:rsidRPr="005D76AD" w14:paraId="22B9D344" w14:textId="77777777" w:rsidTr="00987626">
        <w:trPr>
          <w:trHeight w:val="315"/>
        </w:trPr>
        <w:tc>
          <w:tcPr>
            <w:tcW w:w="3140" w:type="dxa"/>
            <w:tcBorders>
              <w:top w:val="nil"/>
              <w:left w:val="single" w:sz="8" w:space="0" w:color="auto"/>
              <w:bottom w:val="single" w:sz="8" w:space="0" w:color="auto"/>
              <w:right w:val="single" w:sz="8" w:space="0" w:color="auto"/>
            </w:tcBorders>
            <w:shd w:val="clear" w:color="000000" w:fill="FFFFFF"/>
            <w:vAlign w:val="center"/>
            <w:hideMark/>
          </w:tcPr>
          <w:p w14:paraId="465CEA80"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Residential property (rented)</w:t>
            </w:r>
          </w:p>
        </w:tc>
        <w:tc>
          <w:tcPr>
            <w:tcW w:w="3760" w:type="dxa"/>
            <w:tcBorders>
              <w:top w:val="nil"/>
              <w:left w:val="nil"/>
              <w:bottom w:val="single" w:sz="8" w:space="0" w:color="auto"/>
              <w:right w:val="single" w:sz="8" w:space="0" w:color="auto"/>
            </w:tcBorders>
            <w:shd w:val="clear" w:color="000000" w:fill="FFFFFF"/>
            <w:vAlign w:val="center"/>
            <w:hideMark/>
          </w:tcPr>
          <w:p w14:paraId="759CFD99"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4,174</w:t>
            </w:r>
          </w:p>
        </w:tc>
      </w:tr>
      <w:tr w:rsidR="00E321CD" w:rsidRPr="005D76AD" w14:paraId="0C43BC00" w14:textId="77777777" w:rsidTr="00987626">
        <w:trPr>
          <w:trHeight w:val="315"/>
        </w:trPr>
        <w:tc>
          <w:tcPr>
            <w:tcW w:w="3140" w:type="dxa"/>
            <w:tcBorders>
              <w:top w:val="nil"/>
              <w:left w:val="single" w:sz="8" w:space="0" w:color="auto"/>
              <w:bottom w:val="single" w:sz="8" w:space="0" w:color="auto"/>
              <w:right w:val="single" w:sz="8" w:space="0" w:color="auto"/>
            </w:tcBorders>
            <w:shd w:val="clear" w:color="000000" w:fill="FFFFFF"/>
            <w:vAlign w:val="center"/>
            <w:hideMark/>
          </w:tcPr>
          <w:p w14:paraId="4DEA94C5"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Personal loans</w:t>
            </w:r>
          </w:p>
        </w:tc>
        <w:tc>
          <w:tcPr>
            <w:tcW w:w="3760" w:type="dxa"/>
            <w:tcBorders>
              <w:top w:val="nil"/>
              <w:left w:val="nil"/>
              <w:bottom w:val="single" w:sz="8" w:space="0" w:color="auto"/>
              <w:right w:val="single" w:sz="8" w:space="0" w:color="auto"/>
            </w:tcBorders>
            <w:shd w:val="clear" w:color="auto" w:fill="auto"/>
            <w:vAlign w:val="center"/>
            <w:hideMark/>
          </w:tcPr>
          <w:p w14:paraId="3B5A24D4"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1,430,051</w:t>
            </w:r>
          </w:p>
        </w:tc>
      </w:tr>
      <w:tr w:rsidR="00E321CD" w:rsidRPr="005D76AD" w14:paraId="381A0A9E" w14:textId="77777777" w:rsidTr="00987626">
        <w:trPr>
          <w:trHeight w:val="315"/>
        </w:trPr>
        <w:tc>
          <w:tcPr>
            <w:tcW w:w="3140" w:type="dxa"/>
            <w:tcBorders>
              <w:top w:val="nil"/>
              <w:left w:val="single" w:sz="8" w:space="0" w:color="auto"/>
              <w:bottom w:val="single" w:sz="8" w:space="0" w:color="auto"/>
              <w:right w:val="single" w:sz="8" w:space="0" w:color="auto"/>
            </w:tcBorders>
            <w:shd w:val="clear" w:color="000000" w:fill="FFFFFF"/>
            <w:vAlign w:val="center"/>
            <w:hideMark/>
          </w:tcPr>
          <w:p w14:paraId="1D8FFD75"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Motor vehicle</w:t>
            </w:r>
          </w:p>
        </w:tc>
        <w:tc>
          <w:tcPr>
            <w:tcW w:w="3760" w:type="dxa"/>
            <w:tcBorders>
              <w:top w:val="nil"/>
              <w:left w:val="nil"/>
              <w:bottom w:val="single" w:sz="8" w:space="0" w:color="auto"/>
              <w:right w:val="single" w:sz="8" w:space="0" w:color="auto"/>
            </w:tcBorders>
            <w:shd w:val="clear" w:color="auto" w:fill="auto"/>
            <w:vAlign w:val="center"/>
            <w:hideMark/>
          </w:tcPr>
          <w:p w14:paraId="37FB207C"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13,502</w:t>
            </w:r>
          </w:p>
        </w:tc>
      </w:tr>
      <w:tr w:rsidR="00E321CD" w:rsidRPr="005D76AD" w14:paraId="776C0279" w14:textId="77777777" w:rsidTr="00987626">
        <w:trPr>
          <w:trHeight w:val="315"/>
        </w:trPr>
        <w:tc>
          <w:tcPr>
            <w:tcW w:w="3140" w:type="dxa"/>
            <w:tcBorders>
              <w:top w:val="nil"/>
              <w:left w:val="single" w:sz="8" w:space="0" w:color="auto"/>
              <w:bottom w:val="single" w:sz="8" w:space="0" w:color="auto"/>
              <w:right w:val="single" w:sz="8" w:space="0" w:color="auto"/>
            </w:tcBorders>
            <w:shd w:val="clear" w:color="000000" w:fill="FFFFFF"/>
            <w:vAlign w:val="center"/>
            <w:hideMark/>
          </w:tcPr>
          <w:p w14:paraId="5A161382"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Household goods</w:t>
            </w:r>
          </w:p>
        </w:tc>
        <w:tc>
          <w:tcPr>
            <w:tcW w:w="3760" w:type="dxa"/>
            <w:tcBorders>
              <w:top w:val="nil"/>
              <w:left w:val="nil"/>
              <w:bottom w:val="single" w:sz="8" w:space="0" w:color="auto"/>
              <w:right w:val="single" w:sz="8" w:space="0" w:color="auto"/>
            </w:tcBorders>
            <w:shd w:val="clear" w:color="auto" w:fill="auto"/>
            <w:vAlign w:val="center"/>
            <w:hideMark/>
          </w:tcPr>
          <w:p w14:paraId="1BF74057" w14:textId="40BD8908" w:rsidR="00E321CD" w:rsidRPr="005D76AD" w:rsidRDefault="00DB464F" w:rsidP="0098762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E321CD" w:rsidRPr="005D76AD" w14:paraId="0ACCE35B" w14:textId="77777777" w:rsidTr="00987626">
        <w:trPr>
          <w:trHeight w:val="315"/>
        </w:trPr>
        <w:tc>
          <w:tcPr>
            <w:tcW w:w="3140" w:type="dxa"/>
            <w:tcBorders>
              <w:top w:val="nil"/>
              <w:left w:val="single" w:sz="8" w:space="0" w:color="auto"/>
              <w:bottom w:val="single" w:sz="8" w:space="0" w:color="auto"/>
              <w:right w:val="single" w:sz="8" w:space="0" w:color="auto"/>
            </w:tcBorders>
            <w:shd w:val="clear" w:color="000000" w:fill="FFFFFF"/>
            <w:vAlign w:val="center"/>
            <w:hideMark/>
          </w:tcPr>
          <w:p w14:paraId="05A7D6FE"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Credit card loans</w:t>
            </w:r>
          </w:p>
        </w:tc>
        <w:tc>
          <w:tcPr>
            <w:tcW w:w="3760" w:type="dxa"/>
            <w:tcBorders>
              <w:top w:val="nil"/>
              <w:left w:val="nil"/>
              <w:bottom w:val="single" w:sz="8" w:space="0" w:color="auto"/>
              <w:right w:val="single" w:sz="8" w:space="0" w:color="auto"/>
            </w:tcBorders>
            <w:shd w:val="clear" w:color="auto" w:fill="auto"/>
            <w:vAlign w:val="center"/>
            <w:hideMark/>
          </w:tcPr>
          <w:p w14:paraId="12EF8BA5" w14:textId="7DA58DB4" w:rsidR="00E321CD" w:rsidRPr="005D76AD" w:rsidRDefault="00DB464F" w:rsidP="0098762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E321CD" w:rsidRPr="005D76AD" w14:paraId="76008927" w14:textId="77777777" w:rsidTr="00987626">
        <w:trPr>
          <w:trHeight w:val="525"/>
        </w:trPr>
        <w:tc>
          <w:tcPr>
            <w:tcW w:w="3140" w:type="dxa"/>
            <w:tcBorders>
              <w:top w:val="nil"/>
              <w:left w:val="single" w:sz="8" w:space="0" w:color="auto"/>
              <w:bottom w:val="single" w:sz="8" w:space="0" w:color="auto"/>
              <w:right w:val="single" w:sz="8" w:space="0" w:color="auto"/>
            </w:tcBorders>
            <w:shd w:val="clear" w:color="000000" w:fill="FFFFFF"/>
            <w:vAlign w:val="center"/>
            <w:hideMark/>
          </w:tcPr>
          <w:p w14:paraId="713AC630"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 xml:space="preserve"> Non-Profit Institutions Serving Households</w:t>
            </w:r>
          </w:p>
        </w:tc>
        <w:tc>
          <w:tcPr>
            <w:tcW w:w="3760" w:type="dxa"/>
            <w:tcBorders>
              <w:top w:val="nil"/>
              <w:left w:val="nil"/>
              <w:bottom w:val="single" w:sz="8" w:space="0" w:color="auto"/>
              <w:right w:val="single" w:sz="8" w:space="0" w:color="auto"/>
            </w:tcBorders>
            <w:shd w:val="clear" w:color="auto" w:fill="auto"/>
            <w:vAlign w:val="center"/>
            <w:hideMark/>
          </w:tcPr>
          <w:p w14:paraId="76D21F1D" w14:textId="7A9FA3CB" w:rsidR="00E321CD" w:rsidRPr="005D76AD" w:rsidRDefault="00DB464F" w:rsidP="0098762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E321CD" w:rsidRPr="005D76AD" w14:paraId="12FE85C5" w14:textId="77777777" w:rsidTr="00987626">
        <w:trPr>
          <w:trHeight w:val="315"/>
        </w:trPr>
        <w:tc>
          <w:tcPr>
            <w:tcW w:w="3140" w:type="dxa"/>
            <w:tcBorders>
              <w:top w:val="nil"/>
              <w:left w:val="single" w:sz="8" w:space="0" w:color="auto"/>
              <w:bottom w:val="single" w:sz="8" w:space="0" w:color="auto"/>
              <w:right w:val="single" w:sz="8" w:space="0" w:color="auto"/>
            </w:tcBorders>
            <w:shd w:val="clear" w:color="000000" w:fill="FFFFFF"/>
            <w:vAlign w:val="center"/>
            <w:hideMark/>
          </w:tcPr>
          <w:p w14:paraId="0D9A937C"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 xml:space="preserve"> Non-Residents</w:t>
            </w:r>
          </w:p>
        </w:tc>
        <w:tc>
          <w:tcPr>
            <w:tcW w:w="3760" w:type="dxa"/>
            <w:tcBorders>
              <w:top w:val="nil"/>
              <w:left w:val="nil"/>
              <w:bottom w:val="single" w:sz="8" w:space="0" w:color="auto"/>
              <w:right w:val="single" w:sz="8" w:space="0" w:color="auto"/>
            </w:tcBorders>
            <w:shd w:val="clear" w:color="auto" w:fill="auto"/>
            <w:vAlign w:val="center"/>
            <w:hideMark/>
          </w:tcPr>
          <w:p w14:paraId="7E18A853"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108,702</w:t>
            </w:r>
          </w:p>
        </w:tc>
      </w:tr>
      <w:tr w:rsidR="00E321CD" w:rsidRPr="005D76AD" w14:paraId="25169575" w14:textId="77777777" w:rsidTr="00987626">
        <w:trPr>
          <w:trHeight w:val="315"/>
        </w:trPr>
        <w:tc>
          <w:tcPr>
            <w:tcW w:w="3140" w:type="dxa"/>
            <w:tcBorders>
              <w:top w:val="nil"/>
              <w:left w:val="single" w:sz="8" w:space="0" w:color="auto"/>
              <w:bottom w:val="single" w:sz="8" w:space="0" w:color="auto"/>
              <w:right w:val="single" w:sz="8" w:space="0" w:color="auto"/>
            </w:tcBorders>
            <w:shd w:val="clear" w:color="000000" w:fill="FFFFFF"/>
            <w:vAlign w:val="center"/>
            <w:hideMark/>
          </w:tcPr>
          <w:p w14:paraId="495E95BB"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 xml:space="preserve"> Finance companies</w:t>
            </w:r>
          </w:p>
        </w:tc>
        <w:tc>
          <w:tcPr>
            <w:tcW w:w="3760" w:type="dxa"/>
            <w:tcBorders>
              <w:top w:val="nil"/>
              <w:left w:val="nil"/>
              <w:bottom w:val="single" w:sz="8" w:space="0" w:color="auto"/>
              <w:right w:val="single" w:sz="8" w:space="0" w:color="auto"/>
            </w:tcBorders>
            <w:shd w:val="clear" w:color="000000" w:fill="FFFFFF"/>
            <w:vAlign w:val="center"/>
            <w:hideMark/>
          </w:tcPr>
          <w:p w14:paraId="4CA3057E"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279,201</w:t>
            </w:r>
          </w:p>
        </w:tc>
      </w:tr>
      <w:tr w:rsidR="00E321CD" w:rsidRPr="005D76AD" w14:paraId="740C9AAA" w14:textId="77777777" w:rsidTr="00987626">
        <w:trPr>
          <w:trHeight w:val="315"/>
        </w:trPr>
        <w:tc>
          <w:tcPr>
            <w:tcW w:w="3140" w:type="dxa"/>
            <w:tcBorders>
              <w:top w:val="nil"/>
              <w:left w:val="single" w:sz="8" w:space="0" w:color="auto"/>
              <w:bottom w:val="single" w:sz="8" w:space="0" w:color="auto"/>
              <w:right w:val="single" w:sz="8" w:space="0" w:color="auto"/>
            </w:tcBorders>
            <w:shd w:val="clear" w:color="000000" w:fill="FFFFFF"/>
            <w:vAlign w:val="center"/>
            <w:hideMark/>
          </w:tcPr>
          <w:p w14:paraId="6E706572" w14:textId="77777777" w:rsidR="00E321CD" w:rsidRPr="005D76AD" w:rsidRDefault="00E321CD" w:rsidP="00987626">
            <w:pPr>
              <w:spacing w:after="0" w:line="240" w:lineRule="auto"/>
              <w:rPr>
                <w:rFonts w:ascii="Times New Roman" w:eastAsia="Times New Roman" w:hAnsi="Times New Roman" w:cs="Times New Roman"/>
                <w:b/>
                <w:bCs/>
                <w:color w:val="000000"/>
                <w:sz w:val="20"/>
                <w:szCs w:val="20"/>
              </w:rPr>
            </w:pPr>
            <w:r w:rsidRPr="005D76AD">
              <w:rPr>
                <w:rFonts w:ascii="Times New Roman" w:eastAsia="Times New Roman" w:hAnsi="Times New Roman" w:cs="Times New Roman"/>
                <w:b/>
                <w:bCs/>
                <w:color w:val="000000"/>
                <w:sz w:val="20"/>
                <w:szCs w:val="20"/>
              </w:rPr>
              <w:t>TOTAL</w:t>
            </w:r>
          </w:p>
        </w:tc>
        <w:tc>
          <w:tcPr>
            <w:tcW w:w="3760" w:type="dxa"/>
            <w:tcBorders>
              <w:top w:val="nil"/>
              <w:left w:val="nil"/>
              <w:bottom w:val="single" w:sz="8" w:space="0" w:color="auto"/>
              <w:right w:val="single" w:sz="8" w:space="0" w:color="auto"/>
            </w:tcBorders>
            <w:shd w:val="clear" w:color="auto" w:fill="auto"/>
            <w:vAlign w:val="center"/>
            <w:hideMark/>
          </w:tcPr>
          <w:p w14:paraId="68F0AC3D" w14:textId="77777777" w:rsidR="00E321CD" w:rsidRPr="005D76AD" w:rsidRDefault="00E321CD" w:rsidP="00987626">
            <w:pPr>
              <w:spacing w:after="0" w:line="240" w:lineRule="auto"/>
              <w:jc w:val="right"/>
              <w:rPr>
                <w:rFonts w:ascii="Times New Roman" w:eastAsia="Times New Roman" w:hAnsi="Times New Roman" w:cs="Times New Roman"/>
                <w:b/>
                <w:bCs/>
                <w:color w:val="000000"/>
                <w:sz w:val="20"/>
                <w:szCs w:val="20"/>
              </w:rPr>
            </w:pPr>
            <w:r w:rsidRPr="005D76AD">
              <w:rPr>
                <w:rFonts w:ascii="Times New Roman" w:eastAsia="Times New Roman" w:hAnsi="Times New Roman" w:cs="Times New Roman"/>
                <w:b/>
                <w:bCs/>
                <w:color w:val="000000"/>
                <w:sz w:val="20"/>
                <w:szCs w:val="20"/>
              </w:rPr>
              <w:t>3,118,057</w:t>
            </w:r>
          </w:p>
        </w:tc>
      </w:tr>
    </w:tbl>
    <w:p w14:paraId="22966B4A" w14:textId="77777777" w:rsidR="00E321CD" w:rsidRPr="00EF143A" w:rsidRDefault="00E321CD" w:rsidP="00E321CD">
      <w:pPr>
        <w:tabs>
          <w:tab w:val="left" w:pos="3447"/>
        </w:tabs>
        <w:jc w:val="both"/>
        <w:rPr>
          <w:rFonts w:ascii="Times New Roman" w:hAnsi="Times New Roman" w:cs="Times New Roman"/>
          <w:sz w:val="20"/>
          <w:szCs w:val="20"/>
          <w:shd w:val="clear" w:color="auto" w:fill="FF0000"/>
        </w:rPr>
      </w:pPr>
      <w:r>
        <w:rPr>
          <w:rFonts w:ascii="Times New Roman" w:hAnsi="Times New Roman" w:cs="Times New Roman"/>
          <w:sz w:val="20"/>
          <w:szCs w:val="20"/>
          <w:shd w:val="clear" w:color="auto" w:fill="FF0000"/>
        </w:rPr>
        <w:fldChar w:fldCharType="end"/>
      </w:r>
    </w:p>
    <w:p w14:paraId="7F9EAF59" w14:textId="77777777" w:rsidR="00E321CD" w:rsidRPr="005D76AD" w:rsidRDefault="00E321CD" w:rsidP="00E321CD">
      <w:pPr>
        <w:tabs>
          <w:tab w:val="left" w:pos="3447"/>
        </w:tabs>
        <w:jc w:val="both"/>
        <w:rPr>
          <w:rFonts w:ascii="Times New Roman" w:hAnsi="Times New Roman" w:cs="Times New Roman"/>
          <w:b/>
          <w:sz w:val="20"/>
          <w:szCs w:val="20"/>
          <w:shd w:val="clear" w:color="auto" w:fill="FF0000"/>
        </w:rPr>
      </w:pPr>
      <w:r w:rsidRPr="00EF143A">
        <w:rPr>
          <w:rFonts w:ascii="Times New Roman" w:hAnsi="Times New Roman" w:cs="Times New Roman"/>
          <w:b/>
          <w:sz w:val="20"/>
          <w:szCs w:val="20"/>
        </w:rPr>
        <w:t>Residual contractual maturity breakdown by major types of credit exposures (P’000)</w:t>
      </w:r>
      <w:r>
        <w:fldChar w:fldCharType="begin"/>
      </w:r>
      <w:r>
        <w:instrText xml:space="preserve"> LINK Excel.Sheet.12 "\\\\cbbwfilestore\\risk2\\Credit Reporting\\Statutory Return\\2022\\Mar\\Pillar 3 Tables.xlsx" "Residual contractual maturity !R2C3:R13C6" \a \f 4 \h  \* MERGEFORMAT </w:instrText>
      </w:r>
      <w:r>
        <w:fldChar w:fldCharType="separate"/>
      </w:r>
    </w:p>
    <w:tbl>
      <w:tblPr>
        <w:tblW w:w="7787" w:type="dxa"/>
        <w:tblLook w:val="04A0" w:firstRow="1" w:lastRow="0" w:firstColumn="1" w:lastColumn="0" w:noHBand="0" w:noVBand="1"/>
      </w:tblPr>
      <w:tblGrid>
        <w:gridCol w:w="1580"/>
        <w:gridCol w:w="1480"/>
        <w:gridCol w:w="2317"/>
        <w:gridCol w:w="2410"/>
      </w:tblGrid>
      <w:tr w:rsidR="00E321CD" w:rsidRPr="005D76AD" w14:paraId="26B3D819" w14:textId="77777777" w:rsidTr="00D166B3">
        <w:trPr>
          <w:trHeight w:val="494"/>
          <w:tblHeader/>
        </w:trPr>
        <w:tc>
          <w:tcPr>
            <w:tcW w:w="1580" w:type="dxa"/>
            <w:tcBorders>
              <w:top w:val="single" w:sz="8" w:space="0" w:color="auto"/>
              <w:left w:val="single" w:sz="8" w:space="0" w:color="auto"/>
              <w:bottom w:val="single" w:sz="8" w:space="0" w:color="auto"/>
              <w:right w:val="single" w:sz="8" w:space="0" w:color="auto"/>
            </w:tcBorders>
            <w:shd w:val="clear" w:color="000000" w:fill="92D050"/>
            <w:vAlign w:val="center"/>
            <w:hideMark/>
          </w:tcPr>
          <w:p w14:paraId="05B9F5C0" w14:textId="77777777" w:rsidR="00E321CD" w:rsidRPr="005D76AD" w:rsidRDefault="00E321CD" w:rsidP="00987626">
            <w:pPr>
              <w:spacing w:after="0" w:line="240" w:lineRule="auto"/>
              <w:rPr>
                <w:rFonts w:ascii="Times New Roman" w:eastAsia="Times New Roman" w:hAnsi="Times New Roman" w:cs="Times New Roman"/>
                <w:b/>
                <w:bCs/>
                <w:color w:val="000000"/>
                <w:sz w:val="20"/>
                <w:szCs w:val="20"/>
              </w:rPr>
            </w:pPr>
            <w:r w:rsidRPr="005D76AD">
              <w:rPr>
                <w:rFonts w:ascii="Times New Roman" w:eastAsia="Times New Roman" w:hAnsi="Times New Roman" w:cs="Times New Roman"/>
                <w:b/>
                <w:bCs/>
                <w:color w:val="000000"/>
                <w:sz w:val="20"/>
                <w:szCs w:val="20"/>
              </w:rPr>
              <w:t> </w:t>
            </w:r>
          </w:p>
        </w:tc>
        <w:tc>
          <w:tcPr>
            <w:tcW w:w="1480" w:type="dxa"/>
            <w:tcBorders>
              <w:top w:val="single" w:sz="8" w:space="0" w:color="auto"/>
              <w:left w:val="nil"/>
              <w:bottom w:val="single" w:sz="8" w:space="0" w:color="auto"/>
              <w:right w:val="single" w:sz="8" w:space="0" w:color="auto"/>
            </w:tcBorders>
            <w:shd w:val="clear" w:color="000000" w:fill="92D050"/>
            <w:vAlign w:val="center"/>
            <w:hideMark/>
          </w:tcPr>
          <w:p w14:paraId="4A158983" w14:textId="77777777" w:rsidR="00E321CD" w:rsidRPr="005D76AD" w:rsidRDefault="00E321CD" w:rsidP="00987626">
            <w:pPr>
              <w:spacing w:after="0" w:line="240" w:lineRule="auto"/>
              <w:rPr>
                <w:rFonts w:ascii="Times New Roman" w:eastAsia="Times New Roman" w:hAnsi="Times New Roman" w:cs="Times New Roman"/>
                <w:b/>
                <w:bCs/>
                <w:color w:val="000000"/>
                <w:sz w:val="20"/>
                <w:szCs w:val="20"/>
              </w:rPr>
            </w:pPr>
            <w:r w:rsidRPr="005D76AD">
              <w:rPr>
                <w:rFonts w:ascii="Times New Roman" w:eastAsia="Times New Roman" w:hAnsi="Times New Roman" w:cs="Times New Roman"/>
                <w:b/>
                <w:bCs/>
                <w:color w:val="000000"/>
                <w:sz w:val="20"/>
                <w:szCs w:val="20"/>
              </w:rPr>
              <w:t>No. of A/Cs</w:t>
            </w:r>
          </w:p>
        </w:tc>
        <w:tc>
          <w:tcPr>
            <w:tcW w:w="2317" w:type="dxa"/>
            <w:tcBorders>
              <w:top w:val="single" w:sz="8" w:space="0" w:color="auto"/>
              <w:left w:val="nil"/>
              <w:bottom w:val="single" w:sz="8" w:space="0" w:color="auto"/>
              <w:right w:val="single" w:sz="8" w:space="0" w:color="auto"/>
            </w:tcBorders>
            <w:shd w:val="clear" w:color="000000" w:fill="92D050"/>
            <w:vAlign w:val="center"/>
            <w:hideMark/>
          </w:tcPr>
          <w:p w14:paraId="37493A5C" w14:textId="77777777" w:rsidR="00E321CD" w:rsidRPr="005D76AD" w:rsidRDefault="00E321CD" w:rsidP="00987626">
            <w:pPr>
              <w:spacing w:after="0" w:line="240" w:lineRule="auto"/>
              <w:rPr>
                <w:rFonts w:ascii="Times New Roman" w:eastAsia="Times New Roman" w:hAnsi="Times New Roman" w:cs="Times New Roman"/>
                <w:b/>
                <w:bCs/>
                <w:color w:val="000000"/>
                <w:sz w:val="20"/>
                <w:szCs w:val="20"/>
              </w:rPr>
            </w:pPr>
            <w:r w:rsidRPr="005D76AD">
              <w:rPr>
                <w:rFonts w:ascii="Times New Roman" w:eastAsia="Times New Roman" w:hAnsi="Times New Roman" w:cs="Times New Roman"/>
                <w:b/>
                <w:bCs/>
                <w:color w:val="000000"/>
                <w:sz w:val="20"/>
                <w:szCs w:val="20"/>
              </w:rPr>
              <w:t>Original Loan Amount</w:t>
            </w:r>
          </w:p>
        </w:tc>
        <w:tc>
          <w:tcPr>
            <w:tcW w:w="2410" w:type="dxa"/>
            <w:tcBorders>
              <w:top w:val="single" w:sz="8" w:space="0" w:color="auto"/>
              <w:left w:val="nil"/>
              <w:bottom w:val="single" w:sz="8" w:space="0" w:color="auto"/>
              <w:right w:val="single" w:sz="8" w:space="0" w:color="auto"/>
            </w:tcBorders>
            <w:shd w:val="clear" w:color="000000" w:fill="92D050"/>
            <w:vAlign w:val="center"/>
            <w:hideMark/>
          </w:tcPr>
          <w:p w14:paraId="0F50B81D" w14:textId="77777777" w:rsidR="00E321CD" w:rsidRPr="005D76AD" w:rsidRDefault="00E321CD" w:rsidP="00987626">
            <w:pPr>
              <w:spacing w:after="0" w:line="240" w:lineRule="auto"/>
              <w:rPr>
                <w:rFonts w:ascii="Times New Roman" w:eastAsia="Times New Roman" w:hAnsi="Times New Roman" w:cs="Times New Roman"/>
                <w:b/>
                <w:bCs/>
                <w:color w:val="000000"/>
                <w:sz w:val="20"/>
                <w:szCs w:val="20"/>
              </w:rPr>
            </w:pPr>
            <w:r w:rsidRPr="005D76AD">
              <w:rPr>
                <w:rFonts w:ascii="Times New Roman" w:eastAsia="Times New Roman" w:hAnsi="Times New Roman" w:cs="Times New Roman"/>
                <w:b/>
                <w:bCs/>
                <w:color w:val="000000"/>
                <w:sz w:val="20"/>
                <w:szCs w:val="20"/>
              </w:rPr>
              <w:t>Amount Outstanding</w:t>
            </w:r>
          </w:p>
        </w:tc>
      </w:tr>
      <w:tr w:rsidR="00E321CD" w:rsidRPr="005D76AD" w14:paraId="12DEB1A9" w14:textId="77777777" w:rsidTr="00987626">
        <w:trPr>
          <w:trHeight w:val="315"/>
        </w:trPr>
        <w:tc>
          <w:tcPr>
            <w:tcW w:w="1580" w:type="dxa"/>
            <w:tcBorders>
              <w:top w:val="nil"/>
              <w:left w:val="single" w:sz="8" w:space="0" w:color="auto"/>
              <w:bottom w:val="single" w:sz="8" w:space="0" w:color="auto"/>
              <w:right w:val="single" w:sz="8" w:space="0" w:color="auto"/>
            </w:tcBorders>
            <w:shd w:val="clear" w:color="auto" w:fill="auto"/>
            <w:vAlign w:val="center"/>
            <w:hideMark/>
          </w:tcPr>
          <w:p w14:paraId="5C760D53"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Overdrafts</w:t>
            </w:r>
          </w:p>
        </w:tc>
        <w:tc>
          <w:tcPr>
            <w:tcW w:w="1480" w:type="dxa"/>
            <w:tcBorders>
              <w:top w:val="nil"/>
              <w:left w:val="nil"/>
              <w:bottom w:val="single" w:sz="8" w:space="0" w:color="auto"/>
              <w:right w:val="single" w:sz="8" w:space="0" w:color="auto"/>
            </w:tcBorders>
            <w:shd w:val="clear" w:color="000000" w:fill="FFFFFF"/>
            <w:vAlign w:val="center"/>
            <w:hideMark/>
          </w:tcPr>
          <w:p w14:paraId="37EA059D" w14:textId="77777777" w:rsidR="00E321CD" w:rsidRPr="005D76AD" w:rsidRDefault="00E321CD" w:rsidP="00987626">
            <w:pPr>
              <w:spacing w:after="0" w:line="240" w:lineRule="auto"/>
              <w:jc w:val="center"/>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491</w:t>
            </w:r>
          </w:p>
        </w:tc>
        <w:tc>
          <w:tcPr>
            <w:tcW w:w="2317" w:type="dxa"/>
            <w:tcBorders>
              <w:top w:val="nil"/>
              <w:left w:val="nil"/>
              <w:bottom w:val="single" w:sz="8" w:space="0" w:color="auto"/>
              <w:right w:val="single" w:sz="8" w:space="0" w:color="auto"/>
            </w:tcBorders>
            <w:shd w:val="clear" w:color="000000" w:fill="FFFFFF"/>
            <w:vAlign w:val="center"/>
            <w:hideMark/>
          </w:tcPr>
          <w:p w14:paraId="27E6376C"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463,239</w:t>
            </w:r>
          </w:p>
        </w:tc>
        <w:tc>
          <w:tcPr>
            <w:tcW w:w="2410" w:type="dxa"/>
            <w:tcBorders>
              <w:top w:val="nil"/>
              <w:left w:val="nil"/>
              <w:bottom w:val="single" w:sz="8" w:space="0" w:color="auto"/>
              <w:right w:val="single" w:sz="8" w:space="0" w:color="auto"/>
            </w:tcBorders>
            <w:shd w:val="clear" w:color="000000" w:fill="FFFFFF"/>
            <w:vAlign w:val="center"/>
            <w:hideMark/>
          </w:tcPr>
          <w:p w14:paraId="45E8E67A" w14:textId="77777777" w:rsidR="00E321CD" w:rsidRPr="005D76AD" w:rsidRDefault="00E321CD" w:rsidP="004550E7">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401,469</w:t>
            </w:r>
          </w:p>
        </w:tc>
      </w:tr>
      <w:tr w:rsidR="00E321CD" w:rsidRPr="005D76AD" w14:paraId="2BBE6118" w14:textId="77777777" w:rsidTr="00987626">
        <w:trPr>
          <w:trHeight w:val="60"/>
        </w:trPr>
        <w:tc>
          <w:tcPr>
            <w:tcW w:w="1580" w:type="dxa"/>
            <w:tcBorders>
              <w:top w:val="nil"/>
              <w:left w:val="single" w:sz="8" w:space="0" w:color="auto"/>
              <w:bottom w:val="single" w:sz="8" w:space="0" w:color="auto"/>
              <w:right w:val="single" w:sz="8" w:space="0" w:color="auto"/>
            </w:tcBorders>
            <w:shd w:val="clear" w:color="auto" w:fill="auto"/>
            <w:vAlign w:val="center"/>
            <w:hideMark/>
          </w:tcPr>
          <w:p w14:paraId="045263FC"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Loans</w:t>
            </w:r>
          </w:p>
        </w:tc>
        <w:tc>
          <w:tcPr>
            <w:tcW w:w="1480" w:type="dxa"/>
            <w:tcBorders>
              <w:top w:val="nil"/>
              <w:left w:val="nil"/>
              <w:bottom w:val="single" w:sz="8" w:space="0" w:color="auto"/>
              <w:right w:val="single" w:sz="8" w:space="0" w:color="auto"/>
            </w:tcBorders>
            <w:shd w:val="clear" w:color="000000" w:fill="FFFFFF"/>
            <w:vAlign w:val="center"/>
            <w:hideMark/>
          </w:tcPr>
          <w:p w14:paraId="67D267E0" w14:textId="77777777" w:rsidR="00E321CD" w:rsidRPr="005D76AD" w:rsidRDefault="00E321CD" w:rsidP="00987626">
            <w:pPr>
              <w:spacing w:after="0" w:line="240" w:lineRule="auto"/>
              <w:jc w:val="center"/>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 </w:t>
            </w:r>
          </w:p>
        </w:tc>
        <w:tc>
          <w:tcPr>
            <w:tcW w:w="2317" w:type="dxa"/>
            <w:tcBorders>
              <w:top w:val="nil"/>
              <w:left w:val="nil"/>
              <w:bottom w:val="single" w:sz="8" w:space="0" w:color="auto"/>
              <w:right w:val="single" w:sz="8" w:space="0" w:color="auto"/>
            </w:tcBorders>
            <w:shd w:val="clear" w:color="000000" w:fill="FFFFFF"/>
            <w:vAlign w:val="center"/>
            <w:hideMark/>
          </w:tcPr>
          <w:p w14:paraId="0DE7F876"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 </w:t>
            </w:r>
          </w:p>
        </w:tc>
        <w:tc>
          <w:tcPr>
            <w:tcW w:w="2410" w:type="dxa"/>
            <w:tcBorders>
              <w:top w:val="nil"/>
              <w:left w:val="nil"/>
              <w:bottom w:val="single" w:sz="8" w:space="0" w:color="auto"/>
              <w:right w:val="single" w:sz="8" w:space="0" w:color="auto"/>
            </w:tcBorders>
            <w:shd w:val="clear" w:color="000000" w:fill="FFFFFF"/>
            <w:vAlign w:val="center"/>
            <w:hideMark/>
          </w:tcPr>
          <w:p w14:paraId="1733728E" w14:textId="77777777" w:rsidR="00E321CD" w:rsidRPr="005D76AD" w:rsidRDefault="00E321CD" w:rsidP="004550E7">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 </w:t>
            </w:r>
          </w:p>
        </w:tc>
      </w:tr>
      <w:tr w:rsidR="00E321CD" w:rsidRPr="005D76AD" w14:paraId="728B6AC6" w14:textId="77777777" w:rsidTr="00987626">
        <w:trPr>
          <w:trHeight w:val="315"/>
        </w:trPr>
        <w:tc>
          <w:tcPr>
            <w:tcW w:w="1580" w:type="dxa"/>
            <w:tcBorders>
              <w:top w:val="nil"/>
              <w:left w:val="single" w:sz="8" w:space="0" w:color="auto"/>
              <w:bottom w:val="single" w:sz="8" w:space="0" w:color="auto"/>
              <w:right w:val="single" w:sz="8" w:space="0" w:color="auto"/>
            </w:tcBorders>
            <w:shd w:val="clear" w:color="auto" w:fill="auto"/>
            <w:vAlign w:val="center"/>
            <w:hideMark/>
          </w:tcPr>
          <w:p w14:paraId="419F8F57"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&gt;0 to 6 months</w:t>
            </w:r>
          </w:p>
        </w:tc>
        <w:tc>
          <w:tcPr>
            <w:tcW w:w="1480" w:type="dxa"/>
            <w:tcBorders>
              <w:top w:val="nil"/>
              <w:left w:val="nil"/>
              <w:bottom w:val="single" w:sz="8" w:space="0" w:color="auto"/>
              <w:right w:val="single" w:sz="8" w:space="0" w:color="auto"/>
            </w:tcBorders>
            <w:shd w:val="clear" w:color="000000" w:fill="FFFFFF"/>
            <w:vAlign w:val="center"/>
            <w:hideMark/>
          </w:tcPr>
          <w:p w14:paraId="214ACA3C" w14:textId="77777777" w:rsidR="00E321CD" w:rsidRPr="005D76AD" w:rsidRDefault="00E321CD" w:rsidP="00987626">
            <w:pPr>
              <w:spacing w:after="0" w:line="240" w:lineRule="auto"/>
              <w:jc w:val="center"/>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307</w:t>
            </w:r>
          </w:p>
        </w:tc>
        <w:tc>
          <w:tcPr>
            <w:tcW w:w="2317" w:type="dxa"/>
            <w:tcBorders>
              <w:top w:val="nil"/>
              <w:left w:val="nil"/>
              <w:bottom w:val="single" w:sz="8" w:space="0" w:color="auto"/>
              <w:right w:val="single" w:sz="8" w:space="0" w:color="auto"/>
            </w:tcBorders>
            <w:shd w:val="clear" w:color="000000" w:fill="FFFFFF"/>
            <w:vAlign w:val="center"/>
            <w:hideMark/>
          </w:tcPr>
          <w:p w14:paraId="4D3D1A2A"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113,168</w:t>
            </w:r>
          </w:p>
        </w:tc>
        <w:tc>
          <w:tcPr>
            <w:tcW w:w="2410" w:type="dxa"/>
            <w:tcBorders>
              <w:top w:val="nil"/>
              <w:left w:val="nil"/>
              <w:bottom w:val="single" w:sz="8" w:space="0" w:color="auto"/>
              <w:right w:val="single" w:sz="8" w:space="0" w:color="auto"/>
            </w:tcBorders>
            <w:shd w:val="clear" w:color="000000" w:fill="FFFFFF"/>
            <w:vAlign w:val="center"/>
            <w:hideMark/>
          </w:tcPr>
          <w:p w14:paraId="3C21AA34" w14:textId="77777777" w:rsidR="00E321CD" w:rsidRPr="005D76AD" w:rsidRDefault="00E321CD" w:rsidP="004550E7">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43,626</w:t>
            </w:r>
          </w:p>
        </w:tc>
      </w:tr>
      <w:tr w:rsidR="00E321CD" w:rsidRPr="005D76AD" w14:paraId="5B878112" w14:textId="77777777" w:rsidTr="00987626">
        <w:trPr>
          <w:trHeight w:val="525"/>
        </w:trPr>
        <w:tc>
          <w:tcPr>
            <w:tcW w:w="1580" w:type="dxa"/>
            <w:tcBorders>
              <w:top w:val="nil"/>
              <w:left w:val="single" w:sz="8" w:space="0" w:color="auto"/>
              <w:bottom w:val="single" w:sz="8" w:space="0" w:color="auto"/>
              <w:right w:val="single" w:sz="8" w:space="0" w:color="auto"/>
            </w:tcBorders>
            <w:shd w:val="clear" w:color="auto" w:fill="auto"/>
            <w:vAlign w:val="center"/>
            <w:hideMark/>
          </w:tcPr>
          <w:p w14:paraId="698C1E9F"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&gt;6 months to 12 months</w:t>
            </w:r>
          </w:p>
        </w:tc>
        <w:tc>
          <w:tcPr>
            <w:tcW w:w="1480" w:type="dxa"/>
            <w:tcBorders>
              <w:top w:val="nil"/>
              <w:left w:val="nil"/>
              <w:bottom w:val="single" w:sz="8" w:space="0" w:color="auto"/>
              <w:right w:val="single" w:sz="8" w:space="0" w:color="auto"/>
            </w:tcBorders>
            <w:shd w:val="clear" w:color="000000" w:fill="FFFFFF"/>
            <w:vAlign w:val="center"/>
            <w:hideMark/>
          </w:tcPr>
          <w:p w14:paraId="3F7F9ACB" w14:textId="77777777" w:rsidR="00E321CD" w:rsidRPr="005D76AD" w:rsidRDefault="00E321CD" w:rsidP="00987626">
            <w:pPr>
              <w:spacing w:after="0" w:line="240" w:lineRule="auto"/>
              <w:jc w:val="center"/>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355</w:t>
            </w:r>
          </w:p>
        </w:tc>
        <w:tc>
          <w:tcPr>
            <w:tcW w:w="2317" w:type="dxa"/>
            <w:tcBorders>
              <w:top w:val="nil"/>
              <w:left w:val="nil"/>
              <w:bottom w:val="single" w:sz="8" w:space="0" w:color="auto"/>
              <w:right w:val="single" w:sz="8" w:space="0" w:color="auto"/>
            </w:tcBorders>
            <w:shd w:val="clear" w:color="000000" w:fill="FFFFFF"/>
            <w:vAlign w:val="center"/>
            <w:hideMark/>
          </w:tcPr>
          <w:p w14:paraId="1D624034"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153,834</w:t>
            </w:r>
          </w:p>
        </w:tc>
        <w:tc>
          <w:tcPr>
            <w:tcW w:w="2410" w:type="dxa"/>
            <w:tcBorders>
              <w:top w:val="nil"/>
              <w:left w:val="nil"/>
              <w:bottom w:val="single" w:sz="8" w:space="0" w:color="auto"/>
              <w:right w:val="single" w:sz="8" w:space="0" w:color="auto"/>
            </w:tcBorders>
            <w:shd w:val="clear" w:color="000000" w:fill="FFFFFF"/>
            <w:vAlign w:val="center"/>
            <w:hideMark/>
          </w:tcPr>
          <w:p w14:paraId="5D45D84A" w14:textId="77777777" w:rsidR="00E321CD" w:rsidRPr="005D76AD" w:rsidRDefault="00E321CD" w:rsidP="004550E7">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102,094</w:t>
            </w:r>
          </w:p>
        </w:tc>
      </w:tr>
      <w:tr w:rsidR="00E321CD" w:rsidRPr="005D76AD" w14:paraId="77BD88A5" w14:textId="77777777" w:rsidTr="00987626">
        <w:trPr>
          <w:trHeight w:val="315"/>
        </w:trPr>
        <w:tc>
          <w:tcPr>
            <w:tcW w:w="1580" w:type="dxa"/>
            <w:tcBorders>
              <w:top w:val="nil"/>
              <w:left w:val="single" w:sz="8" w:space="0" w:color="auto"/>
              <w:bottom w:val="single" w:sz="8" w:space="0" w:color="auto"/>
              <w:right w:val="single" w:sz="8" w:space="0" w:color="auto"/>
            </w:tcBorders>
            <w:shd w:val="clear" w:color="auto" w:fill="auto"/>
            <w:vAlign w:val="center"/>
            <w:hideMark/>
          </w:tcPr>
          <w:p w14:paraId="786F88D8"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 xml:space="preserve">&gt;1 to 2 years </w:t>
            </w:r>
          </w:p>
        </w:tc>
        <w:tc>
          <w:tcPr>
            <w:tcW w:w="1480" w:type="dxa"/>
            <w:tcBorders>
              <w:top w:val="nil"/>
              <w:left w:val="nil"/>
              <w:bottom w:val="single" w:sz="8" w:space="0" w:color="auto"/>
              <w:right w:val="single" w:sz="8" w:space="0" w:color="auto"/>
            </w:tcBorders>
            <w:shd w:val="clear" w:color="000000" w:fill="FFFFFF"/>
            <w:vAlign w:val="center"/>
            <w:hideMark/>
          </w:tcPr>
          <w:p w14:paraId="69E1C997" w14:textId="77777777" w:rsidR="00E321CD" w:rsidRPr="005D76AD" w:rsidRDefault="00E321CD" w:rsidP="00987626">
            <w:pPr>
              <w:spacing w:after="0" w:line="240" w:lineRule="auto"/>
              <w:jc w:val="center"/>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990</w:t>
            </w:r>
          </w:p>
        </w:tc>
        <w:tc>
          <w:tcPr>
            <w:tcW w:w="2317" w:type="dxa"/>
            <w:tcBorders>
              <w:top w:val="nil"/>
              <w:left w:val="nil"/>
              <w:bottom w:val="single" w:sz="8" w:space="0" w:color="auto"/>
              <w:right w:val="single" w:sz="8" w:space="0" w:color="auto"/>
            </w:tcBorders>
            <w:shd w:val="clear" w:color="000000" w:fill="FFFFFF"/>
            <w:vAlign w:val="center"/>
            <w:hideMark/>
          </w:tcPr>
          <w:p w14:paraId="15FFA144"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345,129</w:t>
            </w:r>
          </w:p>
        </w:tc>
        <w:tc>
          <w:tcPr>
            <w:tcW w:w="2410" w:type="dxa"/>
            <w:tcBorders>
              <w:top w:val="nil"/>
              <w:left w:val="nil"/>
              <w:bottom w:val="single" w:sz="8" w:space="0" w:color="auto"/>
              <w:right w:val="single" w:sz="8" w:space="0" w:color="auto"/>
            </w:tcBorders>
            <w:shd w:val="clear" w:color="000000" w:fill="FFFFFF"/>
            <w:vAlign w:val="center"/>
            <w:hideMark/>
          </w:tcPr>
          <w:p w14:paraId="0ADA6767" w14:textId="77777777" w:rsidR="00E321CD" w:rsidRPr="005D76AD" w:rsidRDefault="00E321CD" w:rsidP="004550E7">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210,763</w:t>
            </w:r>
          </w:p>
        </w:tc>
      </w:tr>
      <w:tr w:rsidR="00E321CD" w:rsidRPr="005D76AD" w14:paraId="36C1F24D" w14:textId="77777777" w:rsidTr="00987626">
        <w:trPr>
          <w:trHeight w:val="315"/>
        </w:trPr>
        <w:tc>
          <w:tcPr>
            <w:tcW w:w="1580" w:type="dxa"/>
            <w:tcBorders>
              <w:top w:val="nil"/>
              <w:left w:val="single" w:sz="8" w:space="0" w:color="auto"/>
              <w:bottom w:val="single" w:sz="8" w:space="0" w:color="auto"/>
              <w:right w:val="single" w:sz="8" w:space="0" w:color="auto"/>
            </w:tcBorders>
            <w:shd w:val="clear" w:color="auto" w:fill="auto"/>
            <w:vAlign w:val="center"/>
            <w:hideMark/>
          </w:tcPr>
          <w:p w14:paraId="3D3024EB"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lastRenderedPageBreak/>
              <w:t xml:space="preserve">&gt;2 to 3 years </w:t>
            </w:r>
          </w:p>
        </w:tc>
        <w:tc>
          <w:tcPr>
            <w:tcW w:w="1480" w:type="dxa"/>
            <w:tcBorders>
              <w:top w:val="nil"/>
              <w:left w:val="nil"/>
              <w:bottom w:val="single" w:sz="8" w:space="0" w:color="auto"/>
              <w:right w:val="single" w:sz="8" w:space="0" w:color="auto"/>
            </w:tcBorders>
            <w:shd w:val="clear" w:color="000000" w:fill="FFFFFF"/>
            <w:vAlign w:val="center"/>
            <w:hideMark/>
          </w:tcPr>
          <w:p w14:paraId="7B051253" w14:textId="77777777" w:rsidR="00E321CD" w:rsidRPr="005D76AD" w:rsidRDefault="00E321CD" w:rsidP="00987626">
            <w:pPr>
              <w:spacing w:after="0" w:line="240" w:lineRule="auto"/>
              <w:jc w:val="center"/>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978</w:t>
            </w:r>
          </w:p>
        </w:tc>
        <w:tc>
          <w:tcPr>
            <w:tcW w:w="2317" w:type="dxa"/>
            <w:tcBorders>
              <w:top w:val="nil"/>
              <w:left w:val="nil"/>
              <w:bottom w:val="single" w:sz="8" w:space="0" w:color="auto"/>
              <w:right w:val="single" w:sz="8" w:space="0" w:color="auto"/>
            </w:tcBorders>
            <w:shd w:val="clear" w:color="000000" w:fill="FFFFFF"/>
            <w:vAlign w:val="center"/>
            <w:hideMark/>
          </w:tcPr>
          <w:p w14:paraId="0C9CFAE2"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457,017</w:t>
            </w:r>
          </w:p>
        </w:tc>
        <w:tc>
          <w:tcPr>
            <w:tcW w:w="2410" w:type="dxa"/>
            <w:tcBorders>
              <w:top w:val="nil"/>
              <w:left w:val="nil"/>
              <w:bottom w:val="single" w:sz="8" w:space="0" w:color="auto"/>
              <w:right w:val="single" w:sz="8" w:space="0" w:color="auto"/>
            </w:tcBorders>
            <w:shd w:val="clear" w:color="000000" w:fill="FFFFFF"/>
            <w:vAlign w:val="center"/>
            <w:hideMark/>
          </w:tcPr>
          <w:p w14:paraId="7D5165F9" w14:textId="77777777" w:rsidR="00E321CD" w:rsidRPr="005D76AD" w:rsidRDefault="00E321CD" w:rsidP="004550E7">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330,745</w:t>
            </w:r>
          </w:p>
        </w:tc>
      </w:tr>
      <w:tr w:rsidR="00E321CD" w:rsidRPr="005D76AD" w14:paraId="256BB562" w14:textId="77777777" w:rsidTr="00987626">
        <w:trPr>
          <w:trHeight w:val="315"/>
        </w:trPr>
        <w:tc>
          <w:tcPr>
            <w:tcW w:w="1580" w:type="dxa"/>
            <w:tcBorders>
              <w:top w:val="nil"/>
              <w:left w:val="single" w:sz="8" w:space="0" w:color="auto"/>
              <w:bottom w:val="single" w:sz="8" w:space="0" w:color="auto"/>
              <w:right w:val="single" w:sz="8" w:space="0" w:color="auto"/>
            </w:tcBorders>
            <w:shd w:val="clear" w:color="auto" w:fill="auto"/>
            <w:vAlign w:val="center"/>
            <w:hideMark/>
          </w:tcPr>
          <w:p w14:paraId="49793CBA"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&gt;3 to 5 years</w:t>
            </w:r>
          </w:p>
        </w:tc>
        <w:tc>
          <w:tcPr>
            <w:tcW w:w="1480" w:type="dxa"/>
            <w:tcBorders>
              <w:top w:val="nil"/>
              <w:left w:val="nil"/>
              <w:bottom w:val="single" w:sz="8" w:space="0" w:color="auto"/>
              <w:right w:val="single" w:sz="8" w:space="0" w:color="auto"/>
            </w:tcBorders>
            <w:shd w:val="clear" w:color="000000" w:fill="FFFFFF"/>
            <w:vAlign w:val="center"/>
            <w:hideMark/>
          </w:tcPr>
          <w:p w14:paraId="4B1B93B8" w14:textId="77777777" w:rsidR="00E321CD" w:rsidRPr="005D76AD" w:rsidRDefault="00E321CD" w:rsidP="00987626">
            <w:pPr>
              <w:spacing w:after="0" w:line="240" w:lineRule="auto"/>
              <w:jc w:val="center"/>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2,739</w:t>
            </w:r>
          </w:p>
        </w:tc>
        <w:tc>
          <w:tcPr>
            <w:tcW w:w="2317" w:type="dxa"/>
            <w:tcBorders>
              <w:top w:val="nil"/>
              <w:left w:val="nil"/>
              <w:bottom w:val="single" w:sz="8" w:space="0" w:color="auto"/>
              <w:right w:val="single" w:sz="8" w:space="0" w:color="auto"/>
            </w:tcBorders>
            <w:shd w:val="clear" w:color="000000" w:fill="FFFFFF"/>
            <w:vAlign w:val="center"/>
            <w:hideMark/>
          </w:tcPr>
          <w:p w14:paraId="7BFEE61D"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788,068</w:t>
            </w:r>
          </w:p>
        </w:tc>
        <w:tc>
          <w:tcPr>
            <w:tcW w:w="2410" w:type="dxa"/>
            <w:tcBorders>
              <w:top w:val="nil"/>
              <w:left w:val="nil"/>
              <w:bottom w:val="single" w:sz="8" w:space="0" w:color="auto"/>
              <w:right w:val="single" w:sz="8" w:space="0" w:color="auto"/>
            </w:tcBorders>
            <w:shd w:val="clear" w:color="000000" w:fill="FFFFFF"/>
            <w:vAlign w:val="center"/>
            <w:hideMark/>
          </w:tcPr>
          <w:p w14:paraId="7CCED26E" w14:textId="77777777" w:rsidR="00E321CD" w:rsidRPr="005D76AD" w:rsidRDefault="00E321CD" w:rsidP="004550E7">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715,300</w:t>
            </w:r>
          </w:p>
        </w:tc>
      </w:tr>
      <w:tr w:rsidR="00E321CD" w:rsidRPr="005D76AD" w14:paraId="2F5E6E16" w14:textId="77777777" w:rsidTr="00987626">
        <w:trPr>
          <w:trHeight w:val="315"/>
        </w:trPr>
        <w:tc>
          <w:tcPr>
            <w:tcW w:w="1580" w:type="dxa"/>
            <w:tcBorders>
              <w:top w:val="nil"/>
              <w:left w:val="single" w:sz="8" w:space="0" w:color="auto"/>
              <w:bottom w:val="single" w:sz="8" w:space="0" w:color="auto"/>
              <w:right w:val="single" w:sz="8" w:space="0" w:color="auto"/>
            </w:tcBorders>
            <w:shd w:val="clear" w:color="auto" w:fill="auto"/>
            <w:vAlign w:val="center"/>
            <w:hideMark/>
          </w:tcPr>
          <w:p w14:paraId="301A27FA"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&gt;5 to 7 years</w:t>
            </w:r>
          </w:p>
        </w:tc>
        <w:tc>
          <w:tcPr>
            <w:tcW w:w="1480" w:type="dxa"/>
            <w:tcBorders>
              <w:top w:val="nil"/>
              <w:left w:val="nil"/>
              <w:bottom w:val="single" w:sz="8" w:space="0" w:color="auto"/>
              <w:right w:val="single" w:sz="8" w:space="0" w:color="auto"/>
            </w:tcBorders>
            <w:shd w:val="clear" w:color="000000" w:fill="FFFFFF"/>
            <w:vAlign w:val="center"/>
            <w:hideMark/>
          </w:tcPr>
          <w:p w14:paraId="767C5E36" w14:textId="77777777" w:rsidR="00E321CD" w:rsidRPr="005D76AD" w:rsidRDefault="00E321CD" w:rsidP="00987626">
            <w:pPr>
              <w:spacing w:after="0" w:line="240" w:lineRule="auto"/>
              <w:jc w:val="center"/>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8,169</w:t>
            </w:r>
          </w:p>
        </w:tc>
        <w:tc>
          <w:tcPr>
            <w:tcW w:w="2317" w:type="dxa"/>
            <w:tcBorders>
              <w:top w:val="nil"/>
              <w:left w:val="nil"/>
              <w:bottom w:val="single" w:sz="8" w:space="0" w:color="auto"/>
              <w:right w:val="single" w:sz="8" w:space="0" w:color="auto"/>
            </w:tcBorders>
            <w:shd w:val="clear" w:color="000000" w:fill="FFFFFF"/>
            <w:vAlign w:val="center"/>
            <w:hideMark/>
          </w:tcPr>
          <w:p w14:paraId="1C3726E5"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1,153,135</w:t>
            </w:r>
          </w:p>
        </w:tc>
        <w:tc>
          <w:tcPr>
            <w:tcW w:w="2410" w:type="dxa"/>
            <w:tcBorders>
              <w:top w:val="nil"/>
              <w:left w:val="nil"/>
              <w:bottom w:val="single" w:sz="8" w:space="0" w:color="auto"/>
              <w:right w:val="single" w:sz="8" w:space="0" w:color="auto"/>
            </w:tcBorders>
            <w:shd w:val="clear" w:color="000000" w:fill="FFFFFF"/>
            <w:vAlign w:val="center"/>
            <w:hideMark/>
          </w:tcPr>
          <w:p w14:paraId="0ADBDA9D" w14:textId="77777777" w:rsidR="00E321CD" w:rsidRPr="005D76AD" w:rsidRDefault="00E321CD" w:rsidP="004550E7">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1,142,892</w:t>
            </w:r>
          </w:p>
        </w:tc>
      </w:tr>
      <w:tr w:rsidR="00E321CD" w:rsidRPr="005D76AD" w14:paraId="03E41B52" w14:textId="77777777" w:rsidTr="00987626">
        <w:trPr>
          <w:trHeight w:val="315"/>
        </w:trPr>
        <w:tc>
          <w:tcPr>
            <w:tcW w:w="1580" w:type="dxa"/>
            <w:tcBorders>
              <w:top w:val="nil"/>
              <w:left w:val="single" w:sz="8" w:space="0" w:color="auto"/>
              <w:bottom w:val="single" w:sz="8" w:space="0" w:color="auto"/>
              <w:right w:val="single" w:sz="8" w:space="0" w:color="auto"/>
            </w:tcBorders>
            <w:shd w:val="clear" w:color="auto" w:fill="auto"/>
            <w:vAlign w:val="center"/>
            <w:hideMark/>
          </w:tcPr>
          <w:p w14:paraId="54B20C8B"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 xml:space="preserve">&gt;7 to 10 years </w:t>
            </w:r>
          </w:p>
        </w:tc>
        <w:tc>
          <w:tcPr>
            <w:tcW w:w="1480" w:type="dxa"/>
            <w:tcBorders>
              <w:top w:val="nil"/>
              <w:left w:val="nil"/>
              <w:bottom w:val="single" w:sz="8" w:space="0" w:color="auto"/>
              <w:right w:val="single" w:sz="8" w:space="0" w:color="auto"/>
            </w:tcBorders>
            <w:shd w:val="clear" w:color="000000" w:fill="FFFFFF"/>
            <w:vAlign w:val="center"/>
            <w:hideMark/>
          </w:tcPr>
          <w:p w14:paraId="4D98266F" w14:textId="77777777" w:rsidR="00E321CD" w:rsidRPr="005D76AD" w:rsidRDefault="00E321CD" w:rsidP="00987626">
            <w:pPr>
              <w:spacing w:after="0" w:line="240" w:lineRule="auto"/>
              <w:jc w:val="center"/>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14</w:t>
            </w:r>
          </w:p>
        </w:tc>
        <w:tc>
          <w:tcPr>
            <w:tcW w:w="2317" w:type="dxa"/>
            <w:tcBorders>
              <w:top w:val="nil"/>
              <w:left w:val="nil"/>
              <w:bottom w:val="single" w:sz="8" w:space="0" w:color="auto"/>
              <w:right w:val="single" w:sz="8" w:space="0" w:color="auto"/>
            </w:tcBorders>
            <w:shd w:val="clear" w:color="000000" w:fill="FFFFFF"/>
            <w:vAlign w:val="center"/>
            <w:hideMark/>
          </w:tcPr>
          <w:p w14:paraId="6107466A"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113,071</w:t>
            </w:r>
          </w:p>
        </w:tc>
        <w:tc>
          <w:tcPr>
            <w:tcW w:w="2410" w:type="dxa"/>
            <w:tcBorders>
              <w:top w:val="nil"/>
              <w:left w:val="nil"/>
              <w:bottom w:val="single" w:sz="8" w:space="0" w:color="auto"/>
              <w:right w:val="single" w:sz="8" w:space="0" w:color="auto"/>
            </w:tcBorders>
            <w:shd w:val="clear" w:color="000000" w:fill="FFFFFF"/>
            <w:vAlign w:val="center"/>
            <w:hideMark/>
          </w:tcPr>
          <w:p w14:paraId="6F254565" w14:textId="77777777" w:rsidR="00E321CD" w:rsidRPr="005D76AD" w:rsidRDefault="00E321CD" w:rsidP="004550E7">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107,782</w:t>
            </w:r>
          </w:p>
        </w:tc>
      </w:tr>
      <w:tr w:rsidR="00E321CD" w:rsidRPr="005D76AD" w14:paraId="3BFD4A11" w14:textId="77777777" w:rsidTr="00987626">
        <w:trPr>
          <w:trHeight w:val="315"/>
        </w:trPr>
        <w:tc>
          <w:tcPr>
            <w:tcW w:w="1580" w:type="dxa"/>
            <w:tcBorders>
              <w:top w:val="nil"/>
              <w:left w:val="single" w:sz="8" w:space="0" w:color="auto"/>
              <w:bottom w:val="single" w:sz="8" w:space="0" w:color="auto"/>
              <w:right w:val="single" w:sz="8" w:space="0" w:color="auto"/>
            </w:tcBorders>
            <w:shd w:val="clear" w:color="auto" w:fill="auto"/>
            <w:vAlign w:val="center"/>
            <w:hideMark/>
          </w:tcPr>
          <w:p w14:paraId="60F8D45B"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Over 10 years</w:t>
            </w:r>
          </w:p>
        </w:tc>
        <w:tc>
          <w:tcPr>
            <w:tcW w:w="1480" w:type="dxa"/>
            <w:tcBorders>
              <w:top w:val="nil"/>
              <w:left w:val="nil"/>
              <w:bottom w:val="single" w:sz="8" w:space="0" w:color="auto"/>
              <w:right w:val="single" w:sz="8" w:space="0" w:color="auto"/>
            </w:tcBorders>
            <w:shd w:val="clear" w:color="000000" w:fill="FFFFFF"/>
            <w:vAlign w:val="center"/>
            <w:hideMark/>
          </w:tcPr>
          <w:p w14:paraId="44F79068" w14:textId="77777777" w:rsidR="00E321CD" w:rsidRPr="005D76AD" w:rsidRDefault="00E321CD" w:rsidP="00987626">
            <w:pPr>
              <w:spacing w:after="0" w:line="240" w:lineRule="auto"/>
              <w:jc w:val="center"/>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79</w:t>
            </w:r>
          </w:p>
        </w:tc>
        <w:tc>
          <w:tcPr>
            <w:tcW w:w="2317" w:type="dxa"/>
            <w:tcBorders>
              <w:top w:val="nil"/>
              <w:left w:val="nil"/>
              <w:bottom w:val="single" w:sz="8" w:space="0" w:color="auto"/>
              <w:right w:val="single" w:sz="8" w:space="0" w:color="auto"/>
            </w:tcBorders>
            <w:shd w:val="clear" w:color="000000" w:fill="FFFFFF"/>
            <w:vAlign w:val="center"/>
            <w:hideMark/>
          </w:tcPr>
          <w:p w14:paraId="686BCE74"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70,736</w:t>
            </w:r>
          </w:p>
        </w:tc>
        <w:tc>
          <w:tcPr>
            <w:tcW w:w="2410" w:type="dxa"/>
            <w:tcBorders>
              <w:top w:val="nil"/>
              <w:left w:val="nil"/>
              <w:bottom w:val="single" w:sz="8" w:space="0" w:color="auto"/>
              <w:right w:val="single" w:sz="8" w:space="0" w:color="auto"/>
            </w:tcBorders>
            <w:shd w:val="clear" w:color="000000" w:fill="FFFFFF"/>
            <w:vAlign w:val="center"/>
            <w:hideMark/>
          </w:tcPr>
          <w:p w14:paraId="0ADC2ED5" w14:textId="77777777" w:rsidR="00E321CD" w:rsidRPr="005D76AD" w:rsidRDefault="00E321CD" w:rsidP="004550E7">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63,387</w:t>
            </w:r>
          </w:p>
        </w:tc>
      </w:tr>
      <w:tr w:rsidR="00E321CD" w:rsidRPr="005D76AD" w14:paraId="6DCF1F1D" w14:textId="77777777" w:rsidTr="00987626">
        <w:trPr>
          <w:trHeight w:val="315"/>
        </w:trPr>
        <w:tc>
          <w:tcPr>
            <w:tcW w:w="1580" w:type="dxa"/>
            <w:tcBorders>
              <w:top w:val="nil"/>
              <w:left w:val="single" w:sz="8" w:space="0" w:color="auto"/>
              <w:bottom w:val="single" w:sz="8" w:space="0" w:color="auto"/>
              <w:right w:val="single" w:sz="8" w:space="0" w:color="auto"/>
            </w:tcBorders>
            <w:shd w:val="clear" w:color="auto" w:fill="auto"/>
            <w:vAlign w:val="center"/>
            <w:hideMark/>
          </w:tcPr>
          <w:p w14:paraId="7F0F39DA" w14:textId="77777777" w:rsidR="00E321CD" w:rsidRPr="005D76AD" w:rsidRDefault="00E321CD" w:rsidP="00987626">
            <w:pPr>
              <w:spacing w:after="0" w:line="240" w:lineRule="auto"/>
              <w:rPr>
                <w:rFonts w:ascii="Times New Roman" w:eastAsia="Times New Roman" w:hAnsi="Times New Roman" w:cs="Times New Roman"/>
                <w:b/>
                <w:bCs/>
                <w:color w:val="000000"/>
                <w:sz w:val="20"/>
                <w:szCs w:val="20"/>
              </w:rPr>
            </w:pPr>
            <w:r w:rsidRPr="005D76AD">
              <w:rPr>
                <w:rFonts w:ascii="Times New Roman" w:eastAsia="Times New Roman" w:hAnsi="Times New Roman" w:cs="Times New Roman"/>
                <w:b/>
                <w:bCs/>
                <w:color w:val="000000"/>
                <w:sz w:val="20"/>
                <w:szCs w:val="20"/>
              </w:rPr>
              <w:t>TOTAL</w:t>
            </w:r>
          </w:p>
        </w:tc>
        <w:tc>
          <w:tcPr>
            <w:tcW w:w="1480" w:type="dxa"/>
            <w:tcBorders>
              <w:top w:val="nil"/>
              <w:left w:val="nil"/>
              <w:bottom w:val="single" w:sz="8" w:space="0" w:color="auto"/>
              <w:right w:val="single" w:sz="8" w:space="0" w:color="auto"/>
            </w:tcBorders>
            <w:shd w:val="clear" w:color="000000" w:fill="FFFFFF"/>
            <w:vAlign w:val="center"/>
            <w:hideMark/>
          </w:tcPr>
          <w:p w14:paraId="062B4B92" w14:textId="77777777" w:rsidR="00E321CD" w:rsidRPr="005D76AD" w:rsidRDefault="00E321CD" w:rsidP="00987626">
            <w:pPr>
              <w:spacing w:after="0" w:line="240" w:lineRule="auto"/>
              <w:jc w:val="center"/>
              <w:rPr>
                <w:rFonts w:ascii="Times New Roman" w:eastAsia="Times New Roman" w:hAnsi="Times New Roman" w:cs="Times New Roman"/>
                <w:b/>
                <w:bCs/>
                <w:color w:val="000000"/>
                <w:sz w:val="20"/>
                <w:szCs w:val="20"/>
              </w:rPr>
            </w:pPr>
            <w:r w:rsidRPr="005D76AD">
              <w:rPr>
                <w:rFonts w:ascii="Times New Roman" w:eastAsia="Times New Roman" w:hAnsi="Times New Roman" w:cs="Times New Roman"/>
                <w:b/>
                <w:bCs/>
                <w:color w:val="000000"/>
                <w:sz w:val="20"/>
                <w:szCs w:val="20"/>
              </w:rPr>
              <w:t>14,122</w:t>
            </w:r>
          </w:p>
        </w:tc>
        <w:tc>
          <w:tcPr>
            <w:tcW w:w="2317" w:type="dxa"/>
            <w:tcBorders>
              <w:top w:val="nil"/>
              <w:left w:val="nil"/>
              <w:bottom w:val="single" w:sz="8" w:space="0" w:color="auto"/>
              <w:right w:val="single" w:sz="8" w:space="0" w:color="auto"/>
            </w:tcBorders>
            <w:shd w:val="clear" w:color="000000" w:fill="92D050"/>
            <w:vAlign w:val="center"/>
            <w:hideMark/>
          </w:tcPr>
          <w:p w14:paraId="45FEDEC1" w14:textId="77777777" w:rsidR="00E321CD" w:rsidRPr="005D76AD" w:rsidRDefault="00E321CD" w:rsidP="004550E7">
            <w:pPr>
              <w:spacing w:after="0" w:line="240" w:lineRule="auto"/>
              <w:jc w:val="right"/>
              <w:rPr>
                <w:rFonts w:ascii="Times New Roman" w:eastAsia="Times New Roman" w:hAnsi="Times New Roman" w:cs="Times New Roman"/>
                <w:b/>
                <w:bCs/>
                <w:color w:val="000000"/>
                <w:sz w:val="20"/>
                <w:szCs w:val="20"/>
              </w:rPr>
            </w:pPr>
            <w:r w:rsidRPr="005D76AD">
              <w:rPr>
                <w:rFonts w:ascii="Times New Roman" w:eastAsia="Times New Roman" w:hAnsi="Times New Roman" w:cs="Times New Roman"/>
                <w:b/>
                <w:bCs/>
                <w:color w:val="000000"/>
                <w:sz w:val="20"/>
                <w:szCs w:val="20"/>
              </w:rPr>
              <w:t>3,657,398</w:t>
            </w:r>
          </w:p>
        </w:tc>
        <w:tc>
          <w:tcPr>
            <w:tcW w:w="2410" w:type="dxa"/>
            <w:tcBorders>
              <w:top w:val="nil"/>
              <w:left w:val="nil"/>
              <w:bottom w:val="single" w:sz="8" w:space="0" w:color="auto"/>
              <w:right w:val="single" w:sz="8" w:space="0" w:color="auto"/>
            </w:tcBorders>
            <w:shd w:val="clear" w:color="000000" w:fill="92D050"/>
            <w:vAlign w:val="center"/>
            <w:hideMark/>
          </w:tcPr>
          <w:p w14:paraId="5DB46D39" w14:textId="77777777" w:rsidR="00E321CD" w:rsidRPr="005D76AD" w:rsidRDefault="00E321CD" w:rsidP="004550E7">
            <w:pPr>
              <w:spacing w:after="0" w:line="240" w:lineRule="auto"/>
              <w:jc w:val="right"/>
              <w:rPr>
                <w:rFonts w:ascii="Times New Roman" w:eastAsia="Times New Roman" w:hAnsi="Times New Roman" w:cs="Times New Roman"/>
                <w:b/>
                <w:bCs/>
                <w:color w:val="000000"/>
                <w:sz w:val="20"/>
                <w:szCs w:val="20"/>
              </w:rPr>
            </w:pPr>
            <w:r w:rsidRPr="005D76AD">
              <w:rPr>
                <w:rFonts w:ascii="Times New Roman" w:eastAsia="Times New Roman" w:hAnsi="Times New Roman" w:cs="Times New Roman"/>
                <w:b/>
                <w:bCs/>
                <w:color w:val="000000"/>
                <w:sz w:val="20"/>
                <w:szCs w:val="20"/>
              </w:rPr>
              <w:t>3,118,057</w:t>
            </w:r>
          </w:p>
        </w:tc>
      </w:tr>
    </w:tbl>
    <w:p w14:paraId="76E5B9B8" w14:textId="7F7CD97F" w:rsidR="00EB617E" w:rsidRPr="00EF143A" w:rsidRDefault="00E321CD" w:rsidP="00E321CD">
      <w:pPr>
        <w:tabs>
          <w:tab w:val="left" w:pos="3447"/>
        </w:tabs>
        <w:jc w:val="both"/>
        <w:rPr>
          <w:rFonts w:ascii="Times New Roman" w:hAnsi="Times New Roman" w:cs="Times New Roman"/>
          <w:sz w:val="20"/>
          <w:szCs w:val="20"/>
        </w:rPr>
      </w:pPr>
      <w:r>
        <w:rPr>
          <w:rFonts w:ascii="Times New Roman" w:hAnsi="Times New Roman" w:cs="Times New Roman"/>
          <w:sz w:val="20"/>
          <w:szCs w:val="20"/>
        </w:rPr>
        <w:fldChar w:fldCharType="end"/>
      </w:r>
    </w:p>
    <w:p w14:paraId="0143A9EB" w14:textId="20AD490C" w:rsidR="00E321CD" w:rsidRPr="00D166B3" w:rsidRDefault="00E321CD" w:rsidP="00E321CD">
      <w:pPr>
        <w:jc w:val="both"/>
        <w:rPr>
          <w:rFonts w:ascii="Times New Roman" w:hAnsi="Times New Roman" w:cs="Times New Roman"/>
          <w:b/>
          <w:sz w:val="20"/>
          <w:szCs w:val="20"/>
        </w:rPr>
      </w:pPr>
      <w:r w:rsidRPr="00EF143A">
        <w:rPr>
          <w:rFonts w:ascii="Times New Roman" w:hAnsi="Times New Roman" w:cs="Times New Roman"/>
          <w:b/>
          <w:sz w:val="20"/>
          <w:szCs w:val="20"/>
        </w:rPr>
        <w:t>By major industry or counter party type: Amount of Impaired loans and if available Past Due Loans (P’000)</w:t>
      </w:r>
      <w:r>
        <w:fldChar w:fldCharType="begin"/>
      </w:r>
      <w:r>
        <w:instrText xml:space="preserve"> LINK Excel.Sheet.12 "\\\\cbbwfilestore\\risk2\\Credit Reporting\\Statutory Return\\2022\\Mar\\Pillar 3 Tables.xlsx" "Impaired loans !R2C3:R28C5" \a \f 4 \h </w:instrText>
      </w:r>
      <w:r w:rsidR="00EE62FE">
        <w:instrText xml:space="preserve"> \* MERGEFORMAT </w:instrText>
      </w:r>
      <w:r>
        <w:fldChar w:fldCharType="separate"/>
      </w:r>
    </w:p>
    <w:tbl>
      <w:tblPr>
        <w:tblW w:w="6936" w:type="dxa"/>
        <w:tblLook w:val="04A0" w:firstRow="1" w:lastRow="0" w:firstColumn="1" w:lastColumn="0" w:noHBand="0" w:noVBand="1"/>
      </w:tblPr>
      <w:tblGrid>
        <w:gridCol w:w="2100"/>
        <w:gridCol w:w="2285"/>
        <w:gridCol w:w="2551"/>
      </w:tblGrid>
      <w:tr w:rsidR="00E321CD" w:rsidRPr="005D76AD" w14:paraId="5C1D8D67" w14:textId="77777777" w:rsidTr="00EE62FE">
        <w:trPr>
          <w:trHeight w:val="525"/>
        </w:trPr>
        <w:tc>
          <w:tcPr>
            <w:tcW w:w="2100" w:type="dxa"/>
            <w:tcBorders>
              <w:top w:val="single" w:sz="8" w:space="0" w:color="auto"/>
              <w:left w:val="single" w:sz="8" w:space="0" w:color="auto"/>
              <w:bottom w:val="single" w:sz="8" w:space="0" w:color="auto"/>
              <w:right w:val="single" w:sz="8" w:space="0" w:color="auto"/>
            </w:tcBorders>
            <w:shd w:val="clear" w:color="000000" w:fill="92D050"/>
            <w:vAlign w:val="center"/>
            <w:hideMark/>
          </w:tcPr>
          <w:p w14:paraId="1BDA5B17" w14:textId="77777777" w:rsidR="00E321CD" w:rsidRPr="005D76AD" w:rsidRDefault="00E321CD" w:rsidP="00987626">
            <w:pPr>
              <w:spacing w:after="0" w:line="240" w:lineRule="auto"/>
              <w:rPr>
                <w:rFonts w:ascii="Times New Roman" w:eastAsia="Times New Roman" w:hAnsi="Times New Roman" w:cs="Times New Roman"/>
                <w:b/>
                <w:bCs/>
                <w:color w:val="000000"/>
                <w:sz w:val="20"/>
                <w:szCs w:val="20"/>
              </w:rPr>
            </w:pPr>
            <w:r w:rsidRPr="005D76AD">
              <w:rPr>
                <w:rFonts w:ascii="Times New Roman" w:eastAsia="Times New Roman" w:hAnsi="Times New Roman" w:cs="Times New Roman"/>
                <w:b/>
                <w:bCs/>
                <w:color w:val="000000"/>
                <w:sz w:val="20"/>
                <w:szCs w:val="20"/>
              </w:rPr>
              <w:t>Impairments/Past due</w:t>
            </w:r>
          </w:p>
        </w:tc>
        <w:tc>
          <w:tcPr>
            <w:tcW w:w="2285" w:type="dxa"/>
            <w:tcBorders>
              <w:top w:val="single" w:sz="8" w:space="0" w:color="auto"/>
              <w:left w:val="nil"/>
              <w:bottom w:val="single" w:sz="8" w:space="0" w:color="auto"/>
              <w:right w:val="single" w:sz="8" w:space="0" w:color="auto"/>
            </w:tcBorders>
            <w:shd w:val="clear" w:color="000000" w:fill="92D050"/>
            <w:vAlign w:val="center"/>
            <w:hideMark/>
          </w:tcPr>
          <w:p w14:paraId="22E5361C" w14:textId="3E53DA12" w:rsidR="00E321CD" w:rsidRPr="005D76AD" w:rsidRDefault="00E321CD" w:rsidP="00987626">
            <w:pPr>
              <w:spacing w:after="0" w:line="240" w:lineRule="auto"/>
              <w:jc w:val="center"/>
              <w:rPr>
                <w:rFonts w:ascii="Times New Roman" w:eastAsia="Times New Roman" w:hAnsi="Times New Roman" w:cs="Times New Roman"/>
                <w:b/>
                <w:bCs/>
                <w:color w:val="000000"/>
                <w:sz w:val="20"/>
                <w:szCs w:val="20"/>
              </w:rPr>
            </w:pPr>
            <w:r w:rsidRPr="005D76AD">
              <w:rPr>
                <w:rFonts w:ascii="Times New Roman" w:eastAsia="Times New Roman" w:hAnsi="Times New Roman" w:cs="Times New Roman"/>
                <w:b/>
                <w:bCs/>
                <w:color w:val="000000"/>
                <w:sz w:val="20"/>
                <w:szCs w:val="20"/>
              </w:rPr>
              <w:t>Total Value of Past Due Loans</w:t>
            </w:r>
            <w:r w:rsidR="00EE62FE">
              <w:rPr>
                <w:rFonts w:ascii="Times New Roman" w:eastAsia="Times New Roman" w:hAnsi="Times New Roman" w:cs="Times New Roman"/>
                <w:b/>
                <w:bCs/>
                <w:color w:val="000000"/>
                <w:sz w:val="20"/>
                <w:szCs w:val="20"/>
              </w:rPr>
              <w:t xml:space="preserve"> (P'000)</w:t>
            </w:r>
            <w:r w:rsidRPr="005D76AD">
              <w:rPr>
                <w:rFonts w:ascii="Times New Roman" w:eastAsia="Times New Roman" w:hAnsi="Times New Roman" w:cs="Times New Roman"/>
                <w:b/>
                <w:bCs/>
                <w:color w:val="000000"/>
                <w:sz w:val="20"/>
                <w:szCs w:val="20"/>
              </w:rPr>
              <w:t xml:space="preserve">          </w:t>
            </w:r>
          </w:p>
        </w:tc>
        <w:tc>
          <w:tcPr>
            <w:tcW w:w="2551" w:type="dxa"/>
            <w:tcBorders>
              <w:top w:val="single" w:sz="8" w:space="0" w:color="auto"/>
              <w:left w:val="nil"/>
              <w:bottom w:val="single" w:sz="8" w:space="0" w:color="auto"/>
              <w:right w:val="single" w:sz="8" w:space="0" w:color="auto"/>
            </w:tcBorders>
            <w:shd w:val="clear" w:color="000000" w:fill="92D050"/>
            <w:vAlign w:val="center"/>
            <w:hideMark/>
          </w:tcPr>
          <w:p w14:paraId="4E598A5A" w14:textId="390C540A" w:rsidR="00E321CD" w:rsidRPr="005D76AD" w:rsidRDefault="00E321CD" w:rsidP="00987626">
            <w:pPr>
              <w:spacing w:after="0" w:line="240" w:lineRule="auto"/>
              <w:jc w:val="center"/>
              <w:rPr>
                <w:rFonts w:ascii="Times New Roman" w:eastAsia="Times New Roman" w:hAnsi="Times New Roman" w:cs="Times New Roman"/>
                <w:b/>
                <w:bCs/>
                <w:color w:val="000000"/>
                <w:sz w:val="20"/>
                <w:szCs w:val="20"/>
              </w:rPr>
            </w:pPr>
            <w:r w:rsidRPr="005D76AD">
              <w:rPr>
                <w:rFonts w:ascii="Times New Roman" w:eastAsia="Times New Roman" w:hAnsi="Times New Roman" w:cs="Times New Roman"/>
                <w:b/>
                <w:bCs/>
                <w:color w:val="000000"/>
                <w:sz w:val="20"/>
                <w:szCs w:val="20"/>
              </w:rPr>
              <w:t>Total Value of Non-Performing Loans</w:t>
            </w:r>
            <w:r w:rsidR="00EE62FE">
              <w:rPr>
                <w:rFonts w:ascii="Times New Roman" w:eastAsia="Times New Roman" w:hAnsi="Times New Roman" w:cs="Times New Roman"/>
                <w:b/>
                <w:bCs/>
                <w:color w:val="000000"/>
                <w:sz w:val="20"/>
                <w:szCs w:val="20"/>
              </w:rPr>
              <w:t xml:space="preserve"> (P'000)</w:t>
            </w:r>
            <w:r w:rsidRPr="005D76AD">
              <w:rPr>
                <w:rFonts w:ascii="Times New Roman" w:eastAsia="Times New Roman" w:hAnsi="Times New Roman" w:cs="Times New Roman"/>
                <w:b/>
                <w:bCs/>
                <w:color w:val="000000"/>
                <w:sz w:val="20"/>
                <w:szCs w:val="20"/>
              </w:rPr>
              <w:t xml:space="preserve"> </w:t>
            </w:r>
          </w:p>
        </w:tc>
      </w:tr>
      <w:tr w:rsidR="00E321CD" w:rsidRPr="005D76AD" w14:paraId="51D9D9A7" w14:textId="77777777" w:rsidTr="00EE62FE">
        <w:trPr>
          <w:trHeight w:val="315"/>
        </w:trPr>
        <w:tc>
          <w:tcPr>
            <w:tcW w:w="2100" w:type="dxa"/>
            <w:tcBorders>
              <w:top w:val="nil"/>
              <w:left w:val="single" w:sz="8" w:space="0" w:color="auto"/>
              <w:bottom w:val="single" w:sz="8" w:space="0" w:color="auto"/>
              <w:right w:val="single" w:sz="8" w:space="0" w:color="auto"/>
            </w:tcBorders>
            <w:shd w:val="clear" w:color="000000" w:fill="FFFFFF"/>
            <w:vAlign w:val="center"/>
            <w:hideMark/>
          </w:tcPr>
          <w:p w14:paraId="74C67D62"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Central Government</w:t>
            </w:r>
          </w:p>
        </w:tc>
        <w:tc>
          <w:tcPr>
            <w:tcW w:w="2285" w:type="dxa"/>
            <w:tcBorders>
              <w:top w:val="nil"/>
              <w:left w:val="nil"/>
              <w:bottom w:val="single" w:sz="8" w:space="0" w:color="auto"/>
              <w:right w:val="single" w:sz="8" w:space="0" w:color="auto"/>
            </w:tcBorders>
            <w:shd w:val="clear" w:color="000000" w:fill="FFFFFF"/>
            <w:vAlign w:val="center"/>
            <w:hideMark/>
          </w:tcPr>
          <w:p w14:paraId="7DC5180D" w14:textId="2404DA01" w:rsidR="00E321CD" w:rsidRPr="005D76AD" w:rsidRDefault="00EE62FE" w:rsidP="0098762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2551" w:type="dxa"/>
            <w:tcBorders>
              <w:top w:val="nil"/>
              <w:left w:val="nil"/>
              <w:bottom w:val="single" w:sz="8" w:space="0" w:color="auto"/>
              <w:right w:val="single" w:sz="8" w:space="0" w:color="auto"/>
            </w:tcBorders>
            <w:shd w:val="clear" w:color="000000" w:fill="FFFFFF"/>
            <w:vAlign w:val="center"/>
            <w:hideMark/>
          </w:tcPr>
          <w:p w14:paraId="0D38A9E1" w14:textId="5A983FB9" w:rsidR="00E321CD" w:rsidRPr="005D76AD" w:rsidRDefault="00EE62FE" w:rsidP="00987626">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w:t>
            </w:r>
          </w:p>
        </w:tc>
      </w:tr>
      <w:tr w:rsidR="00E321CD" w:rsidRPr="005D76AD" w14:paraId="23776D18" w14:textId="77777777" w:rsidTr="00EE62FE">
        <w:trPr>
          <w:trHeight w:val="315"/>
        </w:trPr>
        <w:tc>
          <w:tcPr>
            <w:tcW w:w="2100" w:type="dxa"/>
            <w:tcBorders>
              <w:top w:val="nil"/>
              <w:left w:val="single" w:sz="8" w:space="0" w:color="auto"/>
              <w:bottom w:val="single" w:sz="8" w:space="0" w:color="auto"/>
              <w:right w:val="single" w:sz="8" w:space="0" w:color="auto"/>
            </w:tcBorders>
            <w:shd w:val="clear" w:color="000000" w:fill="FFFFFF"/>
            <w:vAlign w:val="center"/>
            <w:hideMark/>
          </w:tcPr>
          <w:p w14:paraId="2D7FCF5C"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 xml:space="preserve"> Local Government</w:t>
            </w:r>
          </w:p>
        </w:tc>
        <w:tc>
          <w:tcPr>
            <w:tcW w:w="2285" w:type="dxa"/>
            <w:tcBorders>
              <w:top w:val="nil"/>
              <w:left w:val="nil"/>
              <w:bottom w:val="single" w:sz="8" w:space="0" w:color="auto"/>
              <w:right w:val="single" w:sz="8" w:space="0" w:color="auto"/>
            </w:tcBorders>
            <w:shd w:val="clear" w:color="000000" w:fill="FFFFFF"/>
            <w:vAlign w:val="center"/>
            <w:hideMark/>
          </w:tcPr>
          <w:p w14:paraId="1B42C149" w14:textId="0A5C5CFF" w:rsidR="00E321CD" w:rsidRPr="005D76AD" w:rsidRDefault="00EE62FE" w:rsidP="0098762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2551" w:type="dxa"/>
            <w:tcBorders>
              <w:top w:val="nil"/>
              <w:left w:val="nil"/>
              <w:bottom w:val="single" w:sz="8" w:space="0" w:color="auto"/>
              <w:right w:val="single" w:sz="8" w:space="0" w:color="auto"/>
            </w:tcBorders>
            <w:shd w:val="clear" w:color="000000" w:fill="FFFFFF"/>
            <w:vAlign w:val="center"/>
            <w:hideMark/>
          </w:tcPr>
          <w:p w14:paraId="6AFDBE38" w14:textId="02ED1A81" w:rsidR="00E321CD" w:rsidRPr="005D76AD" w:rsidRDefault="00EE62FE" w:rsidP="00987626">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w:t>
            </w:r>
          </w:p>
        </w:tc>
      </w:tr>
      <w:tr w:rsidR="00E321CD" w:rsidRPr="005D76AD" w14:paraId="3CD989BE" w14:textId="77777777" w:rsidTr="00EE62FE">
        <w:trPr>
          <w:trHeight w:val="525"/>
        </w:trPr>
        <w:tc>
          <w:tcPr>
            <w:tcW w:w="2100" w:type="dxa"/>
            <w:tcBorders>
              <w:top w:val="nil"/>
              <w:left w:val="single" w:sz="8" w:space="0" w:color="auto"/>
              <w:bottom w:val="single" w:sz="8" w:space="0" w:color="auto"/>
              <w:right w:val="single" w:sz="8" w:space="0" w:color="auto"/>
            </w:tcBorders>
            <w:shd w:val="clear" w:color="000000" w:fill="FFFFFF"/>
            <w:vAlign w:val="center"/>
            <w:hideMark/>
          </w:tcPr>
          <w:p w14:paraId="37A10A36"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 xml:space="preserve"> Public Non-Financial Corporations</w:t>
            </w:r>
          </w:p>
        </w:tc>
        <w:tc>
          <w:tcPr>
            <w:tcW w:w="2285" w:type="dxa"/>
            <w:tcBorders>
              <w:top w:val="nil"/>
              <w:left w:val="nil"/>
              <w:bottom w:val="single" w:sz="8" w:space="0" w:color="auto"/>
              <w:right w:val="single" w:sz="8" w:space="0" w:color="auto"/>
            </w:tcBorders>
            <w:shd w:val="clear" w:color="000000" w:fill="FFFFFF"/>
            <w:vAlign w:val="center"/>
            <w:hideMark/>
          </w:tcPr>
          <w:p w14:paraId="381180F3" w14:textId="01D85F75" w:rsidR="00E321CD" w:rsidRPr="005D76AD" w:rsidRDefault="00EE62FE" w:rsidP="0098762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2551" w:type="dxa"/>
            <w:tcBorders>
              <w:top w:val="nil"/>
              <w:left w:val="nil"/>
              <w:bottom w:val="single" w:sz="8" w:space="0" w:color="auto"/>
              <w:right w:val="single" w:sz="8" w:space="0" w:color="auto"/>
            </w:tcBorders>
            <w:shd w:val="clear" w:color="000000" w:fill="FFFFFF"/>
            <w:vAlign w:val="center"/>
            <w:hideMark/>
          </w:tcPr>
          <w:p w14:paraId="128CC11F" w14:textId="02D8E1AA" w:rsidR="00E321CD" w:rsidRPr="005D76AD" w:rsidRDefault="00EE62FE" w:rsidP="00987626">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w:t>
            </w:r>
          </w:p>
        </w:tc>
      </w:tr>
      <w:tr w:rsidR="00E321CD" w:rsidRPr="005D76AD" w14:paraId="041D2407" w14:textId="77777777" w:rsidTr="00EE62FE">
        <w:trPr>
          <w:trHeight w:val="525"/>
        </w:trPr>
        <w:tc>
          <w:tcPr>
            <w:tcW w:w="2100" w:type="dxa"/>
            <w:tcBorders>
              <w:top w:val="nil"/>
              <w:left w:val="single" w:sz="8" w:space="0" w:color="auto"/>
              <w:bottom w:val="single" w:sz="8" w:space="0" w:color="auto"/>
              <w:right w:val="single" w:sz="8" w:space="0" w:color="auto"/>
            </w:tcBorders>
            <w:shd w:val="clear" w:color="000000" w:fill="FFFFFF"/>
            <w:vAlign w:val="center"/>
            <w:hideMark/>
          </w:tcPr>
          <w:p w14:paraId="008622CE"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Agriculture, Forestry, Fishing</w:t>
            </w:r>
          </w:p>
        </w:tc>
        <w:tc>
          <w:tcPr>
            <w:tcW w:w="2285" w:type="dxa"/>
            <w:tcBorders>
              <w:top w:val="nil"/>
              <w:left w:val="nil"/>
              <w:bottom w:val="single" w:sz="8" w:space="0" w:color="auto"/>
              <w:right w:val="single" w:sz="8" w:space="0" w:color="auto"/>
            </w:tcBorders>
            <w:shd w:val="clear" w:color="auto" w:fill="auto"/>
            <w:vAlign w:val="center"/>
            <w:hideMark/>
          </w:tcPr>
          <w:p w14:paraId="34F1F814"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18,573</w:t>
            </w:r>
          </w:p>
        </w:tc>
        <w:tc>
          <w:tcPr>
            <w:tcW w:w="2551" w:type="dxa"/>
            <w:tcBorders>
              <w:top w:val="nil"/>
              <w:left w:val="nil"/>
              <w:bottom w:val="single" w:sz="8" w:space="0" w:color="auto"/>
              <w:right w:val="single" w:sz="8" w:space="0" w:color="auto"/>
            </w:tcBorders>
            <w:shd w:val="clear" w:color="auto" w:fill="auto"/>
            <w:vAlign w:val="center"/>
            <w:hideMark/>
          </w:tcPr>
          <w:p w14:paraId="41C6D66E" w14:textId="77777777" w:rsidR="00E321CD" w:rsidRPr="00EE62FE" w:rsidRDefault="00E321CD" w:rsidP="00987626">
            <w:pPr>
              <w:spacing w:after="0" w:line="240" w:lineRule="auto"/>
              <w:jc w:val="right"/>
              <w:rPr>
                <w:rFonts w:ascii="Times New Roman" w:eastAsia="Times New Roman" w:hAnsi="Times New Roman" w:cs="Times New Roman"/>
                <w:color w:val="000000"/>
                <w:sz w:val="20"/>
                <w:szCs w:val="20"/>
              </w:rPr>
            </w:pPr>
            <w:r w:rsidRPr="00EE62FE">
              <w:rPr>
                <w:rFonts w:ascii="Times New Roman" w:eastAsia="Times New Roman" w:hAnsi="Times New Roman" w:cs="Times New Roman"/>
                <w:color w:val="000000"/>
                <w:sz w:val="20"/>
                <w:szCs w:val="20"/>
              </w:rPr>
              <w:t>8,520</w:t>
            </w:r>
          </w:p>
        </w:tc>
      </w:tr>
      <w:tr w:rsidR="00E321CD" w:rsidRPr="005D76AD" w14:paraId="208BCF38" w14:textId="77777777" w:rsidTr="00EE62FE">
        <w:trPr>
          <w:trHeight w:val="315"/>
        </w:trPr>
        <w:tc>
          <w:tcPr>
            <w:tcW w:w="2100" w:type="dxa"/>
            <w:tcBorders>
              <w:top w:val="nil"/>
              <w:left w:val="single" w:sz="8" w:space="0" w:color="auto"/>
              <w:bottom w:val="single" w:sz="8" w:space="0" w:color="auto"/>
              <w:right w:val="single" w:sz="8" w:space="0" w:color="auto"/>
            </w:tcBorders>
            <w:shd w:val="clear" w:color="000000" w:fill="FFFFFF"/>
            <w:vAlign w:val="center"/>
            <w:hideMark/>
          </w:tcPr>
          <w:p w14:paraId="6CFBC51B"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Mining and Quarrying</w:t>
            </w:r>
          </w:p>
        </w:tc>
        <w:tc>
          <w:tcPr>
            <w:tcW w:w="2285" w:type="dxa"/>
            <w:tcBorders>
              <w:top w:val="nil"/>
              <w:left w:val="nil"/>
              <w:bottom w:val="single" w:sz="8" w:space="0" w:color="auto"/>
              <w:right w:val="single" w:sz="8" w:space="0" w:color="auto"/>
            </w:tcBorders>
            <w:shd w:val="clear" w:color="auto" w:fill="auto"/>
            <w:vAlign w:val="center"/>
            <w:hideMark/>
          </w:tcPr>
          <w:p w14:paraId="11C58F3A"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0.00687</w:t>
            </w:r>
          </w:p>
        </w:tc>
        <w:tc>
          <w:tcPr>
            <w:tcW w:w="2551" w:type="dxa"/>
            <w:tcBorders>
              <w:top w:val="nil"/>
              <w:left w:val="nil"/>
              <w:bottom w:val="single" w:sz="8" w:space="0" w:color="auto"/>
              <w:right w:val="single" w:sz="8" w:space="0" w:color="auto"/>
            </w:tcBorders>
            <w:shd w:val="clear" w:color="auto" w:fill="auto"/>
            <w:vAlign w:val="center"/>
            <w:hideMark/>
          </w:tcPr>
          <w:p w14:paraId="631465A1" w14:textId="77777777" w:rsidR="00E321CD" w:rsidRPr="00EE62FE" w:rsidRDefault="00E321CD" w:rsidP="00987626">
            <w:pPr>
              <w:spacing w:after="0" w:line="240" w:lineRule="auto"/>
              <w:jc w:val="right"/>
              <w:rPr>
                <w:rFonts w:ascii="Times New Roman" w:eastAsia="Times New Roman" w:hAnsi="Times New Roman" w:cs="Times New Roman"/>
                <w:color w:val="000000"/>
                <w:sz w:val="20"/>
                <w:szCs w:val="20"/>
              </w:rPr>
            </w:pPr>
            <w:r w:rsidRPr="00EE62FE">
              <w:rPr>
                <w:rFonts w:ascii="Times New Roman" w:eastAsia="Times New Roman" w:hAnsi="Times New Roman" w:cs="Times New Roman"/>
                <w:color w:val="000000"/>
                <w:sz w:val="20"/>
                <w:szCs w:val="20"/>
              </w:rPr>
              <w:t>0.00687</w:t>
            </w:r>
          </w:p>
        </w:tc>
      </w:tr>
      <w:tr w:rsidR="00E321CD" w:rsidRPr="005D76AD" w14:paraId="3FBCF406" w14:textId="77777777" w:rsidTr="00EE62FE">
        <w:trPr>
          <w:trHeight w:val="315"/>
        </w:trPr>
        <w:tc>
          <w:tcPr>
            <w:tcW w:w="2100" w:type="dxa"/>
            <w:tcBorders>
              <w:top w:val="nil"/>
              <w:left w:val="single" w:sz="8" w:space="0" w:color="auto"/>
              <w:bottom w:val="single" w:sz="8" w:space="0" w:color="auto"/>
              <w:right w:val="single" w:sz="8" w:space="0" w:color="auto"/>
            </w:tcBorders>
            <w:shd w:val="clear" w:color="000000" w:fill="FFFFFF"/>
            <w:vAlign w:val="center"/>
            <w:hideMark/>
          </w:tcPr>
          <w:p w14:paraId="2E99693E"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Manufacturing</w:t>
            </w:r>
          </w:p>
        </w:tc>
        <w:tc>
          <w:tcPr>
            <w:tcW w:w="2285" w:type="dxa"/>
            <w:tcBorders>
              <w:top w:val="nil"/>
              <w:left w:val="nil"/>
              <w:bottom w:val="single" w:sz="8" w:space="0" w:color="auto"/>
              <w:right w:val="single" w:sz="8" w:space="0" w:color="auto"/>
            </w:tcBorders>
            <w:shd w:val="clear" w:color="auto" w:fill="auto"/>
            <w:vAlign w:val="center"/>
            <w:hideMark/>
          </w:tcPr>
          <w:p w14:paraId="4E673774"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9,689</w:t>
            </w:r>
          </w:p>
        </w:tc>
        <w:tc>
          <w:tcPr>
            <w:tcW w:w="2551" w:type="dxa"/>
            <w:tcBorders>
              <w:top w:val="nil"/>
              <w:left w:val="nil"/>
              <w:bottom w:val="single" w:sz="8" w:space="0" w:color="auto"/>
              <w:right w:val="single" w:sz="8" w:space="0" w:color="auto"/>
            </w:tcBorders>
            <w:shd w:val="clear" w:color="auto" w:fill="auto"/>
            <w:vAlign w:val="center"/>
            <w:hideMark/>
          </w:tcPr>
          <w:p w14:paraId="68C7455D" w14:textId="77777777" w:rsidR="00E321CD" w:rsidRPr="00EE62FE" w:rsidRDefault="00E321CD" w:rsidP="00987626">
            <w:pPr>
              <w:spacing w:after="0" w:line="240" w:lineRule="auto"/>
              <w:jc w:val="right"/>
              <w:rPr>
                <w:rFonts w:ascii="Times New Roman" w:eastAsia="Times New Roman" w:hAnsi="Times New Roman" w:cs="Times New Roman"/>
                <w:color w:val="000000"/>
                <w:sz w:val="20"/>
                <w:szCs w:val="20"/>
              </w:rPr>
            </w:pPr>
            <w:r w:rsidRPr="00EE62FE">
              <w:rPr>
                <w:rFonts w:ascii="Times New Roman" w:eastAsia="Times New Roman" w:hAnsi="Times New Roman" w:cs="Times New Roman"/>
                <w:color w:val="000000"/>
                <w:sz w:val="20"/>
                <w:szCs w:val="20"/>
              </w:rPr>
              <w:t>8,247</w:t>
            </w:r>
          </w:p>
        </w:tc>
      </w:tr>
      <w:tr w:rsidR="00E321CD" w:rsidRPr="005D76AD" w14:paraId="10765D6A" w14:textId="77777777" w:rsidTr="00EE62FE">
        <w:trPr>
          <w:trHeight w:val="315"/>
        </w:trPr>
        <w:tc>
          <w:tcPr>
            <w:tcW w:w="2100" w:type="dxa"/>
            <w:tcBorders>
              <w:top w:val="nil"/>
              <w:left w:val="single" w:sz="8" w:space="0" w:color="auto"/>
              <w:bottom w:val="single" w:sz="8" w:space="0" w:color="auto"/>
              <w:right w:val="single" w:sz="8" w:space="0" w:color="auto"/>
            </w:tcBorders>
            <w:shd w:val="clear" w:color="000000" w:fill="FFFFFF"/>
            <w:vAlign w:val="center"/>
            <w:hideMark/>
          </w:tcPr>
          <w:p w14:paraId="4EEA71F4"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Construction</w:t>
            </w:r>
          </w:p>
        </w:tc>
        <w:tc>
          <w:tcPr>
            <w:tcW w:w="2285" w:type="dxa"/>
            <w:tcBorders>
              <w:top w:val="nil"/>
              <w:left w:val="nil"/>
              <w:bottom w:val="single" w:sz="8" w:space="0" w:color="auto"/>
              <w:right w:val="single" w:sz="8" w:space="0" w:color="auto"/>
            </w:tcBorders>
            <w:shd w:val="clear" w:color="auto" w:fill="auto"/>
            <w:vAlign w:val="center"/>
            <w:hideMark/>
          </w:tcPr>
          <w:p w14:paraId="13228D70"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3,576</w:t>
            </w:r>
          </w:p>
        </w:tc>
        <w:tc>
          <w:tcPr>
            <w:tcW w:w="2551" w:type="dxa"/>
            <w:tcBorders>
              <w:top w:val="nil"/>
              <w:left w:val="nil"/>
              <w:bottom w:val="single" w:sz="8" w:space="0" w:color="auto"/>
              <w:right w:val="single" w:sz="8" w:space="0" w:color="auto"/>
            </w:tcBorders>
            <w:shd w:val="clear" w:color="auto" w:fill="auto"/>
            <w:vAlign w:val="center"/>
            <w:hideMark/>
          </w:tcPr>
          <w:p w14:paraId="2F98B577" w14:textId="77777777" w:rsidR="00E321CD" w:rsidRPr="00EE62FE" w:rsidRDefault="00E321CD" w:rsidP="00987626">
            <w:pPr>
              <w:spacing w:after="0" w:line="240" w:lineRule="auto"/>
              <w:jc w:val="right"/>
              <w:rPr>
                <w:rFonts w:ascii="Times New Roman" w:eastAsia="Times New Roman" w:hAnsi="Times New Roman" w:cs="Times New Roman"/>
                <w:color w:val="000000"/>
                <w:sz w:val="20"/>
                <w:szCs w:val="20"/>
              </w:rPr>
            </w:pPr>
            <w:r w:rsidRPr="00EE62FE">
              <w:rPr>
                <w:rFonts w:ascii="Times New Roman" w:eastAsia="Times New Roman" w:hAnsi="Times New Roman" w:cs="Times New Roman"/>
                <w:color w:val="000000"/>
                <w:sz w:val="20"/>
                <w:szCs w:val="20"/>
              </w:rPr>
              <w:t>3,572</w:t>
            </w:r>
          </w:p>
        </w:tc>
      </w:tr>
      <w:tr w:rsidR="00E321CD" w:rsidRPr="005D76AD" w14:paraId="00EB9084" w14:textId="77777777" w:rsidTr="00EE62FE">
        <w:trPr>
          <w:trHeight w:val="315"/>
        </w:trPr>
        <w:tc>
          <w:tcPr>
            <w:tcW w:w="2100" w:type="dxa"/>
            <w:tcBorders>
              <w:top w:val="nil"/>
              <w:left w:val="single" w:sz="8" w:space="0" w:color="auto"/>
              <w:bottom w:val="single" w:sz="8" w:space="0" w:color="auto"/>
              <w:right w:val="single" w:sz="8" w:space="0" w:color="auto"/>
            </w:tcBorders>
            <w:shd w:val="clear" w:color="000000" w:fill="FFFFFF"/>
            <w:vAlign w:val="center"/>
            <w:hideMark/>
          </w:tcPr>
          <w:p w14:paraId="27EA746A"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Commercial real estate</w:t>
            </w:r>
          </w:p>
        </w:tc>
        <w:tc>
          <w:tcPr>
            <w:tcW w:w="2285" w:type="dxa"/>
            <w:tcBorders>
              <w:top w:val="nil"/>
              <w:left w:val="nil"/>
              <w:bottom w:val="single" w:sz="8" w:space="0" w:color="auto"/>
              <w:right w:val="single" w:sz="8" w:space="0" w:color="auto"/>
            </w:tcBorders>
            <w:shd w:val="clear" w:color="auto" w:fill="auto"/>
            <w:vAlign w:val="center"/>
            <w:hideMark/>
          </w:tcPr>
          <w:p w14:paraId="6880D63B"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22,182</w:t>
            </w:r>
          </w:p>
        </w:tc>
        <w:tc>
          <w:tcPr>
            <w:tcW w:w="2551" w:type="dxa"/>
            <w:tcBorders>
              <w:top w:val="nil"/>
              <w:left w:val="nil"/>
              <w:bottom w:val="single" w:sz="8" w:space="0" w:color="auto"/>
              <w:right w:val="single" w:sz="8" w:space="0" w:color="auto"/>
            </w:tcBorders>
            <w:shd w:val="clear" w:color="auto" w:fill="auto"/>
            <w:vAlign w:val="center"/>
            <w:hideMark/>
          </w:tcPr>
          <w:p w14:paraId="31A77977" w14:textId="77777777" w:rsidR="00E321CD" w:rsidRPr="00EE62FE" w:rsidRDefault="00E321CD" w:rsidP="00987626">
            <w:pPr>
              <w:spacing w:after="0" w:line="240" w:lineRule="auto"/>
              <w:jc w:val="right"/>
              <w:rPr>
                <w:rFonts w:ascii="Times New Roman" w:eastAsia="Times New Roman" w:hAnsi="Times New Roman" w:cs="Times New Roman"/>
                <w:color w:val="000000"/>
                <w:sz w:val="20"/>
                <w:szCs w:val="20"/>
              </w:rPr>
            </w:pPr>
            <w:r w:rsidRPr="00EE62FE">
              <w:rPr>
                <w:rFonts w:ascii="Times New Roman" w:eastAsia="Times New Roman" w:hAnsi="Times New Roman" w:cs="Times New Roman"/>
                <w:color w:val="000000"/>
                <w:sz w:val="20"/>
                <w:szCs w:val="20"/>
              </w:rPr>
              <w:t>15,379</w:t>
            </w:r>
          </w:p>
        </w:tc>
      </w:tr>
      <w:tr w:rsidR="00E321CD" w:rsidRPr="005D76AD" w14:paraId="2AB4B84D" w14:textId="77777777" w:rsidTr="00EE62FE">
        <w:trPr>
          <w:trHeight w:val="315"/>
        </w:trPr>
        <w:tc>
          <w:tcPr>
            <w:tcW w:w="2100" w:type="dxa"/>
            <w:tcBorders>
              <w:top w:val="nil"/>
              <w:left w:val="single" w:sz="8" w:space="0" w:color="auto"/>
              <w:bottom w:val="single" w:sz="8" w:space="0" w:color="auto"/>
              <w:right w:val="single" w:sz="8" w:space="0" w:color="auto"/>
            </w:tcBorders>
            <w:shd w:val="clear" w:color="000000" w:fill="FFFFFF"/>
            <w:vAlign w:val="center"/>
            <w:hideMark/>
          </w:tcPr>
          <w:p w14:paraId="6813D9F6"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Electricity</w:t>
            </w:r>
          </w:p>
        </w:tc>
        <w:tc>
          <w:tcPr>
            <w:tcW w:w="2285" w:type="dxa"/>
            <w:tcBorders>
              <w:top w:val="nil"/>
              <w:left w:val="nil"/>
              <w:bottom w:val="single" w:sz="8" w:space="0" w:color="auto"/>
              <w:right w:val="single" w:sz="8" w:space="0" w:color="auto"/>
            </w:tcBorders>
            <w:shd w:val="clear" w:color="auto" w:fill="auto"/>
            <w:vAlign w:val="center"/>
            <w:hideMark/>
          </w:tcPr>
          <w:p w14:paraId="5C9DB38B"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212.08644</w:t>
            </w:r>
          </w:p>
        </w:tc>
        <w:tc>
          <w:tcPr>
            <w:tcW w:w="2551" w:type="dxa"/>
            <w:tcBorders>
              <w:top w:val="nil"/>
              <w:left w:val="nil"/>
              <w:bottom w:val="single" w:sz="8" w:space="0" w:color="auto"/>
              <w:right w:val="single" w:sz="8" w:space="0" w:color="auto"/>
            </w:tcBorders>
            <w:shd w:val="clear" w:color="auto" w:fill="auto"/>
            <w:vAlign w:val="center"/>
            <w:hideMark/>
          </w:tcPr>
          <w:p w14:paraId="28FDC67F" w14:textId="77777777" w:rsidR="00E321CD" w:rsidRPr="00EE62FE" w:rsidRDefault="00E321CD" w:rsidP="00987626">
            <w:pPr>
              <w:spacing w:after="0" w:line="240" w:lineRule="auto"/>
              <w:jc w:val="right"/>
              <w:rPr>
                <w:rFonts w:ascii="Times New Roman" w:eastAsia="Times New Roman" w:hAnsi="Times New Roman" w:cs="Times New Roman"/>
                <w:color w:val="000000"/>
                <w:sz w:val="20"/>
                <w:szCs w:val="20"/>
              </w:rPr>
            </w:pPr>
            <w:r w:rsidRPr="00EE62FE">
              <w:rPr>
                <w:rFonts w:ascii="Times New Roman" w:eastAsia="Times New Roman" w:hAnsi="Times New Roman" w:cs="Times New Roman"/>
                <w:color w:val="000000"/>
                <w:sz w:val="20"/>
                <w:szCs w:val="20"/>
              </w:rPr>
              <w:t>212.08644</w:t>
            </w:r>
          </w:p>
        </w:tc>
      </w:tr>
      <w:tr w:rsidR="00E321CD" w:rsidRPr="005D76AD" w14:paraId="7B58B710" w14:textId="77777777" w:rsidTr="00EE62FE">
        <w:trPr>
          <w:trHeight w:val="315"/>
        </w:trPr>
        <w:tc>
          <w:tcPr>
            <w:tcW w:w="2100" w:type="dxa"/>
            <w:tcBorders>
              <w:top w:val="nil"/>
              <w:left w:val="single" w:sz="8" w:space="0" w:color="auto"/>
              <w:bottom w:val="single" w:sz="8" w:space="0" w:color="auto"/>
              <w:right w:val="single" w:sz="8" w:space="0" w:color="auto"/>
            </w:tcBorders>
            <w:shd w:val="clear" w:color="000000" w:fill="FFFFFF"/>
            <w:vAlign w:val="center"/>
            <w:hideMark/>
          </w:tcPr>
          <w:p w14:paraId="720F245B"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Water</w:t>
            </w:r>
          </w:p>
        </w:tc>
        <w:tc>
          <w:tcPr>
            <w:tcW w:w="2285" w:type="dxa"/>
            <w:tcBorders>
              <w:top w:val="nil"/>
              <w:left w:val="nil"/>
              <w:bottom w:val="single" w:sz="8" w:space="0" w:color="auto"/>
              <w:right w:val="single" w:sz="8" w:space="0" w:color="auto"/>
            </w:tcBorders>
            <w:shd w:val="clear" w:color="auto" w:fill="auto"/>
            <w:vAlign w:val="center"/>
            <w:hideMark/>
          </w:tcPr>
          <w:p w14:paraId="49F2B4B7" w14:textId="464140E9" w:rsidR="00E321CD" w:rsidRPr="005D76AD" w:rsidRDefault="00EE62FE" w:rsidP="0098762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2551" w:type="dxa"/>
            <w:tcBorders>
              <w:top w:val="nil"/>
              <w:left w:val="nil"/>
              <w:bottom w:val="single" w:sz="8" w:space="0" w:color="auto"/>
              <w:right w:val="single" w:sz="8" w:space="0" w:color="auto"/>
            </w:tcBorders>
            <w:shd w:val="clear" w:color="auto" w:fill="auto"/>
            <w:vAlign w:val="center"/>
            <w:hideMark/>
          </w:tcPr>
          <w:p w14:paraId="7F0B9B7B" w14:textId="4289744A" w:rsidR="00E321CD" w:rsidRPr="00EE62FE" w:rsidRDefault="00EE62FE" w:rsidP="0098762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E321CD" w:rsidRPr="005D76AD" w14:paraId="11278556" w14:textId="77777777" w:rsidTr="00EE62FE">
        <w:trPr>
          <w:trHeight w:val="525"/>
        </w:trPr>
        <w:tc>
          <w:tcPr>
            <w:tcW w:w="2100" w:type="dxa"/>
            <w:tcBorders>
              <w:top w:val="nil"/>
              <w:left w:val="single" w:sz="8" w:space="0" w:color="auto"/>
              <w:bottom w:val="single" w:sz="8" w:space="0" w:color="auto"/>
              <w:right w:val="single" w:sz="8" w:space="0" w:color="auto"/>
            </w:tcBorders>
            <w:shd w:val="clear" w:color="000000" w:fill="FFFFFF"/>
            <w:vAlign w:val="center"/>
            <w:hideMark/>
          </w:tcPr>
          <w:p w14:paraId="1573EAE9"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 xml:space="preserve">Telecommunication and post </w:t>
            </w:r>
          </w:p>
        </w:tc>
        <w:tc>
          <w:tcPr>
            <w:tcW w:w="2285" w:type="dxa"/>
            <w:tcBorders>
              <w:top w:val="nil"/>
              <w:left w:val="nil"/>
              <w:bottom w:val="single" w:sz="8" w:space="0" w:color="auto"/>
              <w:right w:val="single" w:sz="8" w:space="0" w:color="auto"/>
            </w:tcBorders>
            <w:shd w:val="clear" w:color="auto" w:fill="auto"/>
            <w:vAlign w:val="center"/>
            <w:hideMark/>
          </w:tcPr>
          <w:p w14:paraId="1B079722" w14:textId="2A46011D" w:rsidR="00E321CD" w:rsidRPr="005D76AD" w:rsidRDefault="00EE62FE" w:rsidP="0098762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2551" w:type="dxa"/>
            <w:tcBorders>
              <w:top w:val="nil"/>
              <w:left w:val="nil"/>
              <w:bottom w:val="single" w:sz="8" w:space="0" w:color="auto"/>
              <w:right w:val="single" w:sz="8" w:space="0" w:color="auto"/>
            </w:tcBorders>
            <w:shd w:val="clear" w:color="auto" w:fill="auto"/>
            <w:vAlign w:val="center"/>
            <w:hideMark/>
          </w:tcPr>
          <w:p w14:paraId="0D3DA675" w14:textId="1ADC3A2C" w:rsidR="00E321CD" w:rsidRPr="00EE62FE" w:rsidRDefault="00EE62FE" w:rsidP="0098762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E321CD" w:rsidRPr="005D76AD" w14:paraId="340BC8BD" w14:textId="77777777" w:rsidTr="00EE62FE">
        <w:trPr>
          <w:trHeight w:val="315"/>
        </w:trPr>
        <w:tc>
          <w:tcPr>
            <w:tcW w:w="2100" w:type="dxa"/>
            <w:tcBorders>
              <w:top w:val="nil"/>
              <w:left w:val="single" w:sz="8" w:space="0" w:color="auto"/>
              <w:bottom w:val="single" w:sz="8" w:space="0" w:color="auto"/>
              <w:right w:val="single" w:sz="8" w:space="0" w:color="auto"/>
            </w:tcBorders>
            <w:shd w:val="clear" w:color="000000" w:fill="FFFFFF"/>
            <w:vAlign w:val="center"/>
            <w:hideMark/>
          </w:tcPr>
          <w:p w14:paraId="3432FBE0"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Tourism and hotels</w:t>
            </w:r>
          </w:p>
        </w:tc>
        <w:tc>
          <w:tcPr>
            <w:tcW w:w="2285" w:type="dxa"/>
            <w:tcBorders>
              <w:top w:val="nil"/>
              <w:left w:val="nil"/>
              <w:bottom w:val="single" w:sz="8" w:space="0" w:color="auto"/>
              <w:right w:val="single" w:sz="8" w:space="0" w:color="auto"/>
            </w:tcBorders>
            <w:shd w:val="clear" w:color="auto" w:fill="auto"/>
            <w:vAlign w:val="center"/>
            <w:hideMark/>
          </w:tcPr>
          <w:p w14:paraId="22F58CBB"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1092.20032</w:t>
            </w:r>
          </w:p>
        </w:tc>
        <w:tc>
          <w:tcPr>
            <w:tcW w:w="2551" w:type="dxa"/>
            <w:tcBorders>
              <w:top w:val="nil"/>
              <w:left w:val="nil"/>
              <w:bottom w:val="single" w:sz="8" w:space="0" w:color="auto"/>
              <w:right w:val="single" w:sz="8" w:space="0" w:color="auto"/>
            </w:tcBorders>
            <w:shd w:val="clear" w:color="auto" w:fill="auto"/>
            <w:vAlign w:val="center"/>
            <w:hideMark/>
          </w:tcPr>
          <w:p w14:paraId="412498EE" w14:textId="77777777" w:rsidR="00E321CD" w:rsidRPr="00EE62FE" w:rsidRDefault="00E321CD" w:rsidP="00987626">
            <w:pPr>
              <w:spacing w:after="0" w:line="240" w:lineRule="auto"/>
              <w:jc w:val="right"/>
              <w:rPr>
                <w:rFonts w:ascii="Times New Roman" w:eastAsia="Times New Roman" w:hAnsi="Times New Roman" w:cs="Times New Roman"/>
                <w:color w:val="000000"/>
                <w:sz w:val="20"/>
                <w:szCs w:val="20"/>
              </w:rPr>
            </w:pPr>
            <w:r w:rsidRPr="00EE62FE">
              <w:rPr>
                <w:rFonts w:ascii="Times New Roman" w:eastAsia="Times New Roman" w:hAnsi="Times New Roman" w:cs="Times New Roman"/>
                <w:color w:val="000000"/>
                <w:sz w:val="20"/>
                <w:szCs w:val="20"/>
              </w:rPr>
              <w:t>80.70582</w:t>
            </w:r>
          </w:p>
        </w:tc>
      </w:tr>
      <w:tr w:rsidR="00E321CD" w:rsidRPr="005D76AD" w14:paraId="0B17ABD1" w14:textId="77777777" w:rsidTr="00EE62FE">
        <w:trPr>
          <w:trHeight w:val="315"/>
        </w:trPr>
        <w:tc>
          <w:tcPr>
            <w:tcW w:w="2100" w:type="dxa"/>
            <w:tcBorders>
              <w:top w:val="nil"/>
              <w:left w:val="single" w:sz="8" w:space="0" w:color="auto"/>
              <w:bottom w:val="single" w:sz="8" w:space="0" w:color="auto"/>
              <w:right w:val="single" w:sz="8" w:space="0" w:color="auto"/>
            </w:tcBorders>
            <w:shd w:val="clear" w:color="000000" w:fill="FFFFFF"/>
            <w:vAlign w:val="center"/>
            <w:hideMark/>
          </w:tcPr>
          <w:p w14:paraId="4320D22D"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Transport and storage</w:t>
            </w:r>
          </w:p>
        </w:tc>
        <w:tc>
          <w:tcPr>
            <w:tcW w:w="2285" w:type="dxa"/>
            <w:tcBorders>
              <w:top w:val="nil"/>
              <w:left w:val="nil"/>
              <w:bottom w:val="single" w:sz="8" w:space="0" w:color="auto"/>
              <w:right w:val="single" w:sz="8" w:space="0" w:color="auto"/>
            </w:tcBorders>
            <w:shd w:val="clear" w:color="auto" w:fill="auto"/>
            <w:vAlign w:val="center"/>
            <w:hideMark/>
          </w:tcPr>
          <w:p w14:paraId="5D2BE82E"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2,081</w:t>
            </w:r>
          </w:p>
        </w:tc>
        <w:tc>
          <w:tcPr>
            <w:tcW w:w="2551" w:type="dxa"/>
            <w:tcBorders>
              <w:top w:val="nil"/>
              <w:left w:val="nil"/>
              <w:bottom w:val="single" w:sz="8" w:space="0" w:color="auto"/>
              <w:right w:val="single" w:sz="8" w:space="0" w:color="auto"/>
            </w:tcBorders>
            <w:shd w:val="clear" w:color="auto" w:fill="auto"/>
            <w:vAlign w:val="center"/>
            <w:hideMark/>
          </w:tcPr>
          <w:p w14:paraId="787712C3" w14:textId="77777777" w:rsidR="00E321CD" w:rsidRPr="00EE62FE" w:rsidRDefault="00E321CD" w:rsidP="00987626">
            <w:pPr>
              <w:spacing w:after="0" w:line="240" w:lineRule="auto"/>
              <w:jc w:val="right"/>
              <w:rPr>
                <w:rFonts w:ascii="Times New Roman" w:eastAsia="Times New Roman" w:hAnsi="Times New Roman" w:cs="Times New Roman"/>
                <w:color w:val="000000"/>
                <w:sz w:val="20"/>
                <w:szCs w:val="20"/>
              </w:rPr>
            </w:pPr>
            <w:r w:rsidRPr="00EE62FE">
              <w:rPr>
                <w:rFonts w:ascii="Times New Roman" w:eastAsia="Times New Roman" w:hAnsi="Times New Roman" w:cs="Times New Roman"/>
                <w:color w:val="000000"/>
                <w:sz w:val="20"/>
                <w:szCs w:val="20"/>
              </w:rPr>
              <w:t>2,081</w:t>
            </w:r>
          </w:p>
        </w:tc>
      </w:tr>
      <w:tr w:rsidR="00E321CD" w:rsidRPr="005D76AD" w14:paraId="299B7B7E" w14:textId="77777777" w:rsidTr="00EE62FE">
        <w:trPr>
          <w:trHeight w:val="525"/>
        </w:trPr>
        <w:tc>
          <w:tcPr>
            <w:tcW w:w="2100" w:type="dxa"/>
            <w:tcBorders>
              <w:top w:val="nil"/>
              <w:left w:val="single" w:sz="8" w:space="0" w:color="auto"/>
              <w:bottom w:val="single" w:sz="8" w:space="0" w:color="auto"/>
              <w:right w:val="single" w:sz="8" w:space="0" w:color="auto"/>
            </w:tcBorders>
            <w:shd w:val="clear" w:color="000000" w:fill="FFFFFF"/>
            <w:vAlign w:val="center"/>
            <w:hideMark/>
          </w:tcPr>
          <w:p w14:paraId="262736D6"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Trade, restaurants and bars</w:t>
            </w:r>
          </w:p>
        </w:tc>
        <w:tc>
          <w:tcPr>
            <w:tcW w:w="2285" w:type="dxa"/>
            <w:tcBorders>
              <w:top w:val="nil"/>
              <w:left w:val="nil"/>
              <w:bottom w:val="single" w:sz="8" w:space="0" w:color="auto"/>
              <w:right w:val="single" w:sz="8" w:space="0" w:color="auto"/>
            </w:tcBorders>
            <w:shd w:val="clear" w:color="auto" w:fill="auto"/>
            <w:vAlign w:val="center"/>
            <w:hideMark/>
          </w:tcPr>
          <w:p w14:paraId="496F7547"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19,283</w:t>
            </w:r>
          </w:p>
        </w:tc>
        <w:tc>
          <w:tcPr>
            <w:tcW w:w="2551" w:type="dxa"/>
            <w:tcBorders>
              <w:top w:val="nil"/>
              <w:left w:val="nil"/>
              <w:bottom w:val="single" w:sz="8" w:space="0" w:color="auto"/>
              <w:right w:val="single" w:sz="8" w:space="0" w:color="auto"/>
            </w:tcBorders>
            <w:shd w:val="clear" w:color="auto" w:fill="auto"/>
            <w:vAlign w:val="center"/>
            <w:hideMark/>
          </w:tcPr>
          <w:p w14:paraId="53F2EDD9" w14:textId="77777777" w:rsidR="00E321CD" w:rsidRPr="00EE62FE" w:rsidRDefault="00E321CD" w:rsidP="00987626">
            <w:pPr>
              <w:spacing w:after="0" w:line="240" w:lineRule="auto"/>
              <w:jc w:val="right"/>
              <w:rPr>
                <w:rFonts w:ascii="Times New Roman" w:eastAsia="Times New Roman" w:hAnsi="Times New Roman" w:cs="Times New Roman"/>
                <w:color w:val="000000"/>
                <w:sz w:val="20"/>
                <w:szCs w:val="20"/>
              </w:rPr>
            </w:pPr>
            <w:r w:rsidRPr="00EE62FE">
              <w:rPr>
                <w:rFonts w:ascii="Times New Roman" w:eastAsia="Times New Roman" w:hAnsi="Times New Roman" w:cs="Times New Roman"/>
                <w:color w:val="000000"/>
                <w:sz w:val="20"/>
                <w:szCs w:val="20"/>
              </w:rPr>
              <w:t>16,451</w:t>
            </w:r>
          </w:p>
        </w:tc>
      </w:tr>
      <w:tr w:rsidR="00E321CD" w:rsidRPr="005D76AD" w14:paraId="62F21DF0" w14:textId="77777777" w:rsidTr="00EE62FE">
        <w:trPr>
          <w:trHeight w:val="315"/>
        </w:trPr>
        <w:tc>
          <w:tcPr>
            <w:tcW w:w="2100" w:type="dxa"/>
            <w:tcBorders>
              <w:top w:val="nil"/>
              <w:left w:val="single" w:sz="8" w:space="0" w:color="auto"/>
              <w:bottom w:val="single" w:sz="8" w:space="0" w:color="auto"/>
              <w:right w:val="single" w:sz="8" w:space="0" w:color="auto"/>
            </w:tcBorders>
            <w:shd w:val="clear" w:color="000000" w:fill="FFFFFF"/>
            <w:vAlign w:val="center"/>
            <w:hideMark/>
          </w:tcPr>
          <w:p w14:paraId="4CDD6C8F"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 xml:space="preserve"> Business services</w:t>
            </w:r>
          </w:p>
        </w:tc>
        <w:tc>
          <w:tcPr>
            <w:tcW w:w="2285" w:type="dxa"/>
            <w:tcBorders>
              <w:top w:val="nil"/>
              <w:left w:val="nil"/>
              <w:bottom w:val="single" w:sz="8" w:space="0" w:color="auto"/>
              <w:right w:val="single" w:sz="8" w:space="0" w:color="auto"/>
            </w:tcBorders>
            <w:shd w:val="clear" w:color="auto" w:fill="auto"/>
            <w:vAlign w:val="center"/>
            <w:hideMark/>
          </w:tcPr>
          <w:p w14:paraId="659A9758"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10,859</w:t>
            </w:r>
          </w:p>
        </w:tc>
        <w:tc>
          <w:tcPr>
            <w:tcW w:w="2551" w:type="dxa"/>
            <w:tcBorders>
              <w:top w:val="nil"/>
              <w:left w:val="nil"/>
              <w:bottom w:val="single" w:sz="8" w:space="0" w:color="auto"/>
              <w:right w:val="single" w:sz="8" w:space="0" w:color="auto"/>
            </w:tcBorders>
            <w:shd w:val="clear" w:color="auto" w:fill="auto"/>
            <w:vAlign w:val="center"/>
            <w:hideMark/>
          </w:tcPr>
          <w:p w14:paraId="76ACEC4C" w14:textId="77777777" w:rsidR="00E321CD" w:rsidRPr="00EE62FE" w:rsidRDefault="00E321CD" w:rsidP="00987626">
            <w:pPr>
              <w:spacing w:after="0" w:line="240" w:lineRule="auto"/>
              <w:jc w:val="right"/>
              <w:rPr>
                <w:rFonts w:ascii="Times New Roman" w:eastAsia="Times New Roman" w:hAnsi="Times New Roman" w:cs="Times New Roman"/>
                <w:color w:val="000000"/>
                <w:sz w:val="20"/>
                <w:szCs w:val="20"/>
              </w:rPr>
            </w:pPr>
            <w:r w:rsidRPr="00EE62FE">
              <w:rPr>
                <w:rFonts w:ascii="Times New Roman" w:eastAsia="Times New Roman" w:hAnsi="Times New Roman" w:cs="Times New Roman"/>
                <w:color w:val="000000"/>
                <w:sz w:val="20"/>
                <w:szCs w:val="20"/>
              </w:rPr>
              <w:t>10,859</w:t>
            </w:r>
          </w:p>
        </w:tc>
      </w:tr>
      <w:tr w:rsidR="00E321CD" w:rsidRPr="005D76AD" w14:paraId="15B64F6F" w14:textId="77777777" w:rsidTr="00EE62FE">
        <w:trPr>
          <w:trHeight w:val="525"/>
        </w:trPr>
        <w:tc>
          <w:tcPr>
            <w:tcW w:w="2100" w:type="dxa"/>
            <w:tcBorders>
              <w:top w:val="nil"/>
              <w:left w:val="single" w:sz="8" w:space="0" w:color="auto"/>
              <w:bottom w:val="single" w:sz="8" w:space="0" w:color="auto"/>
              <w:right w:val="single" w:sz="8" w:space="0" w:color="auto"/>
            </w:tcBorders>
            <w:shd w:val="clear" w:color="000000" w:fill="FFFFFF"/>
            <w:vAlign w:val="center"/>
            <w:hideMark/>
          </w:tcPr>
          <w:p w14:paraId="7D73639D"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Other community, social and personal services</w:t>
            </w:r>
          </w:p>
        </w:tc>
        <w:tc>
          <w:tcPr>
            <w:tcW w:w="2285" w:type="dxa"/>
            <w:tcBorders>
              <w:top w:val="nil"/>
              <w:left w:val="nil"/>
              <w:bottom w:val="single" w:sz="8" w:space="0" w:color="auto"/>
              <w:right w:val="single" w:sz="8" w:space="0" w:color="auto"/>
            </w:tcBorders>
            <w:shd w:val="clear" w:color="auto" w:fill="auto"/>
            <w:vAlign w:val="center"/>
            <w:hideMark/>
          </w:tcPr>
          <w:p w14:paraId="4EC17FA9"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740</w:t>
            </w:r>
          </w:p>
        </w:tc>
        <w:tc>
          <w:tcPr>
            <w:tcW w:w="2551" w:type="dxa"/>
            <w:tcBorders>
              <w:top w:val="nil"/>
              <w:left w:val="nil"/>
              <w:bottom w:val="single" w:sz="8" w:space="0" w:color="auto"/>
              <w:right w:val="single" w:sz="8" w:space="0" w:color="auto"/>
            </w:tcBorders>
            <w:shd w:val="clear" w:color="auto" w:fill="auto"/>
            <w:vAlign w:val="center"/>
            <w:hideMark/>
          </w:tcPr>
          <w:p w14:paraId="704B5986" w14:textId="77777777" w:rsidR="00E321CD" w:rsidRPr="00EE62FE" w:rsidRDefault="00E321CD" w:rsidP="00987626">
            <w:pPr>
              <w:spacing w:after="0" w:line="240" w:lineRule="auto"/>
              <w:jc w:val="right"/>
              <w:rPr>
                <w:rFonts w:ascii="Times New Roman" w:eastAsia="Times New Roman" w:hAnsi="Times New Roman" w:cs="Times New Roman"/>
                <w:color w:val="000000"/>
                <w:sz w:val="20"/>
                <w:szCs w:val="20"/>
              </w:rPr>
            </w:pPr>
            <w:r w:rsidRPr="00EE62FE">
              <w:rPr>
                <w:rFonts w:ascii="Times New Roman" w:eastAsia="Times New Roman" w:hAnsi="Times New Roman" w:cs="Times New Roman"/>
                <w:color w:val="000000"/>
                <w:sz w:val="20"/>
                <w:szCs w:val="20"/>
              </w:rPr>
              <w:t>304</w:t>
            </w:r>
          </w:p>
        </w:tc>
      </w:tr>
      <w:tr w:rsidR="00E321CD" w:rsidRPr="005D76AD" w14:paraId="7EEA555A" w14:textId="77777777" w:rsidTr="00EE62FE">
        <w:trPr>
          <w:trHeight w:val="525"/>
        </w:trPr>
        <w:tc>
          <w:tcPr>
            <w:tcW w:w="2100" w:type="dxa"/>
            <w:tcBorders>
              <w:top w:val="nil"/>
              <w:left w:val="single" w:sz="8" w:space="0" w:color="auto"/>
              <w:bottom w:val="single" w:sz="8" w:space="0" w:color="auto"/>
              <w:right w:val="single" w:sz="8" w:space="0" w:color="auto"/>
            </w:tcBorders>
            <w:shd w:val="clear" w:color="000000" w:fill="FFFFFF"/>
            <w:vAlign w:val="center"/>
            <w:hideMark/>
          </w:tcPr>
          <w:p w14:paraId="0E122294"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 xml:space="preserve">Residential property (owner occupied) </w:t>
            </w:r>
          </w:p>
        </w:tc>
        <w:tc>
          <w:tcPr>
            <w:tcW w:w="2285" w:type="dxa"/>
            <w:tcBorders>
              <w:top w:val="nil"/>
              <w:left w:val="nil"/>
              <w:bottom w:val="single" w:sz="8" w:space="0" w:color="auto"/>
              <w:right w:val="single" w:sz="8" w:space="0" w:color="auto"/>
            </w:tcBorders>
            <w:shd w:val="clear" w:color="auto" w:fill="auto"/>
            <w:vAlign w:val="center"/>
            <w:hideMark/>
          </w:tcPr>
          <w:p w14:paraId="68C545A7"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2,767</w:t>
            </w:r>
          </w:p>
        </w:tc>
        <w:tc>
          <w:tcPr>
            <w:tcW w:w="2551" w:type="dxa"/>
            <w:tcBorders>
              <w:top w:val="nil"/>
              <w:left w:val="nil"/>
              <w:bottom w:val="single" w:sz="8" w:space="0" w:color="auto"/>
              <w:right w:val="single" w:sz="8" w:space="0" w:color="auto"/>
            </w:tcBorders>
            <w:shd w:val="clear" w:color="auto" w:fill="auto"/>
            <w:vAlign w:val="center"/>
            <w:hideMark/>
          </w:tcPr>
          <w:p w14:paraId="730E1937" w14:textId="77777777" w:rsidR="00E321CD" w:rsidRPr="00EE62FE" w:rsidRDefault="00E321CD" w:rsidP="00987626">
            <w:pPr>
              <w:spacing w:after="0" w:line="240" w:lineRule="auto"/>
              <w:jc w:val="right"/>
              <w:rPr>
                <w:rFonts w:ascii="Times New Roman" w:eastAsia="Times New Roman" w:hAnsi="Times New Roman" w:cs="Times New Roman"/>
                <w:color w:val="000000"/>
                <w:sz w:val="20"/>
                <w:szCs w:val="20"/>
              </w:rPr>
            </w:pPr>
            <w:r w:rsidRPr="00EE62FE">
              <w:rPr>
                <w:rFonts w:ascii="Times New Roman" w:eastAsia="Times New Roman" w:hAnsi="Times New Roman" w:cs="Times New Roman"/>
                <w:color w:val="000000"/>
                <w:sz w:val="20"/>
                <w:szCs w:val="20"/>
              </w:rPr>
              <w:t>2,621</w:t>
            </w:r>
          </w:p>
        </w:tc>
      </w:tr>
      <w:tr w:rsidR="00E321CD" w:rsidRPr="005D76AD" w14:paraId="18FBD09C" w14:textId="77777777" w:rsidTr="00EE62FE">
        <w:trPr>
          <w:trHeight w:val="525"/>
        </w:trPr>
        <w:tc>
          <w:tcPr>
            <w:tcW w:w="2100" w:type="dxa"/>
            <w:tcBorders>
              <w:top w:val="nil"/>
              <w:left w:val="single" w:sz="8" w:space="0" w:color="auto"/>
              <w:bottom w:val="single" w:sz="8" w:space="0" w:color="auto"/>
              <w:right w:val="single" w:sz="8" w:space="0" w:color="auto"/>
            </w:tcBorders>
            <w:shd w:val="clear" w:color="000000" w:fill="FFFFFF"/>
            <w:vAlign w:val="center"/>
            <w:hideMark/>
          </w:tcPr>
          <w:p w14:paraId="7ED95FFE"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Residential property (rented)</w:t>
            </w:r>
          </w:p>
        </w:tc>
        <w:tc>
          <w:tcPr>
            <w:tcW w:w="2285" w:type="dxa"/>
            <w:tcBorders>
              <w:top w:val="nil"/>
              <w:left w:val="nil"/>
              <w:bottom w:val="single" w:sz="8" w:space="0" w:color="auto"/>
              <w:right w:val="single" w:sz="8" w:space="0" w:color="auto"/>
            </w:tcBorders>
            <w:shd w:val="clear" w:color="auto" w:fill="auto"/>
            <w:vAlign w:val="center"/>
            <w:hideMark/>
          </w:tcPr>
          <w:p w14:paraId="74448EAD"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2,060</w:t>
            </w:r>
          </w:p>
        </w:tc>
        <w:tc>
          <w:tcPr>
            <w:tcW w:w="2551" w:type="dxa"/>
            <w:tcBorders>
              <w:top w:val="nil"/>
              <w:left w:val="nil"/>
              <w:bottom w:val="single" w:sz="8" w:space="0" w:color="auto"/>
              <w:right w:val="single" w:sz="8" w:space="0" w:color="auto"/>
            </w:tcBorders>
            <w:shd w:val="clear" w:color="auto" w:fill="auto"/>
            <w:vAlign w:val="center"/>
            <w:hideMark/>
          </w:tcPr>
          <w:p w14:paraId="05228959" w14:textId="77777777" w:rsidR="00E321CD" w:rsidRPr="00EE62FE" w:rsidRDefault="00E321CD" w:rsidP="00987626">
            <w:pPr>
              <w:spacing w:after="0" w:line="240" w:lineRule="auto"/>
              <w:jc w:val="right"/>
              <w:rPr>
                <w:rFonts w:ascii="Times New Roman" w:eastAsia="Times New Roman" w:hAnsi="Times New Roman" w:cs="Times New Roman"/>
                <w:color w:val="000000"/>
                <w:sz w:val="20"/>
                <w:szCs w:val="20"/>
              </w:rPr>
            </w:pPr>
            <w:r w:rsidRPr="00EE62FE">
              <w:rPr>
                <w:rFonts w:ascii="Times New Roman" w:eastAsia="Times New Roman" w:hAnsi="Times New Roman" w:cs="Times New Roman"/>
                <w:color w:val="000000"/>
                <w:sz w:val="20"/>
                <w:szCs w:val="20"/>
              </w:rPr>
              <w:t>2,060</w:t>
            </w:r>
          </w:p>
        </w:tc>
      </w:tr>
      <w:tr w:rsidR="00E321CD" w:rsidRPr="005D76AD" w14:paraId="1E919F8D" w14:textId="77777777" w:rsidTr="00EE62FE">
        <w:trPr>
          <w:trHeight w:val="315"/>
        </w:trPr>
        <w:tc>
          <w:tcPr>
            <w:tcW w:w="2100" w:type="dxa"/>
            <w:tcBorders>
              <w:top w:val="nil"/>
              <w:left w:val="single" w:sz="8" w:space="0" w:color="auto"/>
              <w:bottom w:val="single" w:sz="8" w:space="0" w:color="auto"/>
              <w:right w:val="single" w:sz="8" w:space="0" w:color="auto"/>
            </w:tcBorders>
            <w:shd w:val="clear" w:color="000000" w:fill="FFFFFF"/>
            <w:vAlign w:val="center"/>
            <w:hideMark/>
          </w:tcPr>
          <w:p w14:paraId="0F7EA9C5"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Personal loans</w:t>
            </w:r>
          </w:p>
        </w:tc>
        <w:tc>
          <w:tcPr>
            <w:tcW w:w="2285" w:type="dxa"/>
            <w:tcBorders>
              <w:top w:val="nil"/>
              <w:left w:val="nil"/>
              <w:bottom w:val="single" w:sz="8" w:space="0" w:color="auto"/>
              <w:right w:val="single" w:sz="8" w:space="0" w:color="auto"/>
            </w:tcBorders>
            <w:shd w:val="clear" w:color="auto" w:fill="auto"/>
            <w:vAlign w:val="center"/>
            <w:hideMark/>
          </w:tcPr>
          <w:p w14:paraId="0943ADC8"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1,158</w:t>
            </w:r>
          </w:p>
        </w:tc>
        <w:tc>
          <w:tcPr>
            <w:tcW w:w="2551" w:type="dxa"/>
            <w:tcBorders>
              <w:top w:val="nil"/>
              <w:left w:val="nil"/>
              <w:bottom w:val="single" w:sz="8" w:space="0" w:color="auto"/>
              <w:right w:val="single" w:sz="8" w:space="0" w:color="auto"/>
            </w:tcBorders>
            <w:shd w:val="clear" w:color="auto" w:fill="auto"/>
            <w:vAlign w:val="center"/>
            <w:hideMark/>
          </w:tcPr>
          <w:p w14:paraId="046E8283" w14:textId="77777777" w:rsidR="00E321CD" w:rsidRPr="00EE62FE" w:rsidRDefault="00E321CD" w:rsidP="00987626">
            <w:pPr>
              <w:spacing w:after="0" w:line="240" w:lineRule="auto"/>
              <w:jc w:val="right"/>
              <w:rPr>
                <w:rFonts w:ascii="Times New Roman" w:eastAsia="Times New Roman" w:hAnsi="Times New Roman" w:cs="Times New Roman"/>
                <w:color w:val="000000"/>
                <w:sz w:val="20"/>
                <w:szCs w:val="20"/>
              </w:rPr>
            </w:pPr>
            <w:r w:rsidRPr="00EE62FE">
              <w:rPr>
                <w:rFonts w:ascii="Times New Roman" w:eastAsia="Times New Roman" w:hAnsi="Times New Roman" w:cs="Times New Roman"/>
                <w:color w:val="000000"/>
                <w:sz w:val="20"/>
                <w:szCs w:val="20"/>
              </w:rPr>
              <w:t>1,090</w:t>
            </w:r>
          </w:p>
        </w:tc>
      </w:tr>
      <w:tr w:rsidR="00E321CD" w:rsidRPr="005D76AD" w14:paraId="5A9307C1" w14:textId="77777777" w:rsidTr="00EE62FE">
        <w:trPr>
          <w:trHeight w:val="315"/>
        </w:trPr>
        <w:tc>
          <w:tcPr>
            <w:tcW w:w="2100" w:type="dxa"/>
            <w:tcBorders>
              <w:top w:val="nil"/>
              <w:left w:val="single" w:sz="8" w:space="0" w:color="auto"/>
              <w:bottom w:val="single" w:sz="8" w:space="0" w:color="auto"/>
              <w:right w:val="single" w:sz="8" w:space="0" w:color="auto"/>
            </w:tcBorders>
            <w:shd w:val="clear" w:color="000000" w:fill="FFFFFF"/>
            <w:vAlign w:val="center"/>
            <w:hideMark/>
          </w:tcPr>
          <w:p w14:paraId="53A2B465"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Motor vehicle</w:t>
            </w:r>
          </w:p>
        </w:tc>
        <w:tc>
          <w:tcPr>
            <w:tcW w:w="2285" w:type="dxa"/>
            <w:tcBorders>
              <w:top w:val="nil"/>
              <w:left w:val="nil"/>
              <w:bottom w:val="single" w:sz="8" w:space="0" w:color="auto"/>
              <w:right w:val="single" w:sz="8" w:space="0" w:color="auto"/>
            </w:tcBorders>
            <w:shd w:val="clear" w:color="auto" w:fill="auto"/>
            <w:vAlign w:val="center"/>
            <w:hideMark/>
          </w:tcPr>
          <w:p w14:paraId="23EF6E2B"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1,943</w:t>
            </w:r>
          </w:p>
        </w:tc>
        <w:tc>
          <w:tcPr>
            <w:tcW w:w="2551" w:type="dxa"/>
            <w:tcBorders>
              <w:top w:val="nil"/>
              <w:left w:val="nil"/>
              <w:bottom w:val="single" w:sz="8" w:space="0" w:color="auto"/>
              <w:right w:val="single" w:sz="8" w:space="0" w:color="auto"/>
            </w:tcBorders>
            <w:shd w:val="clear" w:color="000000" w:fill="FFFFFF"/>
            <w:vAlign w:val="center"/>
            <w:hideMark/>
          </w:tcPr>
          <w:p w14:paraId="33623B8B" w14:textId="77777777" w:rsidR="00E321CD" w:rsidRPr="00EE62FE" w:rsidRDefault="00E321CD" w:rsidP="00987626">
            <w:pPr>
              <w:spacing w:after="0" w:line="240" w:lineRule="auto"/>
              <w:jc w:val="right"/>
              <w:rPr>
                <w:rFonts w:ascii="Times New Roman" w:eastAsia="Times New Roman" w:hAnsi="Times New Roman" w:cs="Times New Roman"/>
                <w:color w:val="000000"/>
                <w:sz w:val="20"/>
                <w:szCs w:val="20"/>
              </w:rPr>
            </w:pPr>
            <w:r w:rsidRPr="00EE62FE">
              <w:rPr>
                <w:rFonts w:ascii="Times New Roman" w:eastAsia="Times New Roman" w:hAnsi="Times New Roman" w:cs="Times New Roman"/>
                <w:color w:val="000000"/>
                <w:sz w:val="20"/>
                <w:szCs w:val="20"/>
              </w:rPr>
              <w:t>883</w:t>
            </w:r>
          </w:p>
        </w:tc>
      </w:tr>
      <w:tr w:rsidR="00E321CD" w:rsidRPr="005D76AD" w14:paraId="340A91A4" w14:textId="77777777" w:rsidTr="00EE62FE">
        <w:trPr>
          <w:trHeight w:val="315"/>
        </w:trPr>
        <w:tc>
          <w:tcPr>
            <w:tcW w:w="2100" w:type="dxa"/>
            <w:tcBorders>
              <w:top w:val="nil"/>
              <w:left w:val="single" w:sz="8" w:space="0" w:color="auto"/>
              <w:bottom w:val="single" w:sz="8" w:space="0" w:color="auto"/>
              <w:right w:val="single" w:sz="8" w:space="0" w:color="auto"/>
            </w:tcBorders>
            <w:shd w:val="clear" w:color="000000" w:fill="FFFFFF"/>
            <w:vAlign w:val="center"/>
            <w:hideMark/>
          </w:tcPr>
          <w:p w14:paraId="559D6329"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Household goods</w:t>
            </w:r>
          </w:p>
        </w:tc>
        <w:tc>
          <w:tcPr>
            <w:tcW w:w="2285" w:type="dxa"/>
            <w:tcBorders>
              <w:top w:val="nil"/>
              <w:left w:val="nil"/>
              <w:bottom w:val="single" w:sz="8" w:space="0" w:color="auto"/>
              <w:right w:val="single" w:sz="8" w:space="0" w:color="auto"/>
            </w:tcBorders>
            <w:shd w:val="clear" w:color="auto" w:fill="auto"/>
            <w:vAlign w:val="center"/>
            <w:hideMark/>
          </w:tcPr>
          <w:p w14:paraId="11F1F2E4" w14:textId="5746E557" w:rsidR="00E321CD" w:rsidRPr="005D76AD" w:rsidRDefault="00EE62FE" w:rsidP="0098762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2551" w:type="dxa"/>
            <w:tcBorders>
              <w:top w:val="nil"/>
              <w:left w:val="nil"/>
              <w:bottom w:val="single" w:sz="8" w:space="0" w:color="auto"/>
              <w:right w:val="single" w:sz="8" w:space="0" w:color="auto"/>
            </w:tcBorders>
            <w:shd w:val="clear" w:color="000000" w:fill="FFFFFF"/>
            <w:vAlign w:val="center"/>
            <w:hideMark/>
          </w:tcPr>
          <w:p w14:paraId="09FFC3E3" w14:textId="05FD538D" w:rsidR="00E321CD" w:rsidRPr="00EE62FE" w:rsidRDefault="00EE62FE" w:rsidP="0098762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E321CD" w:rsidRPr="005D76AD" w14:paraId="39B441BC" w14:textId="77777777" w:rsidTr="00EE62FE">
        <w:trPr>
          <w:trHeight w:val="315"/>
        </w:trPr>
        <w:tc>
          <w:tcPr>
            <w:tcW w:w="2100" w:type="dxa"/>
            <w:tcBorders>
              <w:top w:val="nil"/>
              <w:left w:val="single" w:sz="8" w:space="0" w:color="auto"/>
              <w:bottom w:val="single" w:sz="8" w:space="0" w:color="auto"/>
              <w:right w:val="single" w:sz="8" w:space="0" w:color="auto"/>
            </w:tcBorders>
            <w:shd w:val="clear" w:color="000000" w:fill="FFFFFF"/>
            <w:vAlign w:val="center"/>
            <w:hideMark/>
          </w:tcPr>
          <w:p w14:paraId="14820092"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Credit card loans</w:t>
            </w:r>
          </w:p>
        </w:tc>
        <w:tc>
          <w:tcPr>
            <w:tcW w:w="2285" w:type="dxa"/>
            <w:tcBorders>
              <w:top w:val="nil"/>
              <w:left w:val="nil"/>
              <w:bottom w:val="single" w:sz="8" w:space="0" w:color="auto"/>
              <w:right w:val="single" w:sz="8" w:space="0" w:color="auto"/>
            </w:tcBorders>
            <w:shd w:val="clear" w:color="auto" w:fill="auto"/>
            <w:vAlign w:val="center"/>
            <w:hideMark/>
          </w:tcPr>
          <w:p w14:paraId="5A5C9929" w14:textId="259AB6BB" w:rsidR="00E321CD" w:rsidRPr="005D76AD" w:rsidRDefault="00EE62FE" w:rsidP="0098762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2551" w:type="dxa"/>
            <w:tcBorders>
              <w:top w:val="nil"/>
              <w:left w:val="nil"/>
              <w:bottom w:val="single" w:sz="8" w:space="0" w:color="auto"/>
              <w:right w:val="single" w:sz="8" w:space="0" w:color="auto"/>
            </w:tcBorders>
            <w:shd w:val="clear" w:color="000000" w:fill="FFFFFF"/>
            <w:vAlign w:val="center"/>
            <w:hideMark/>
          </w:tcPr>
          <w:p w14:paraId="2D6C959C" w14:textId="12872B85" w:rsidR="00E321CD" w:rsidRPr="00EE62FE" w:rsidRDefault="00EE62FE" w:rsidP="0098762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E321CD" w:rsidRPr="005D76AD" w14:paraId="5F2352B6" w14:textId="77777777" w:rsidTr="00EE62FE">
        <w:trPr>
          <w:trHeight w:val="525"/>
        </w:trPr>
        <w:tc>
          <w:tcPr>
            <w:tcW w:w="2100" w:type="dxa"/>
            <w:tcBorders>
              <w:top w:val="nil"/>
              <w:left w:val="single" w:sz="8" w:space="0" w:color="auto"/>
              <w:bottom w:val="single" w:sz="8" w:space="0" w:color="auto"/>
              <w:right w:val="single" w:sz="8" w:space="0" w:color="auto"/>
            </w:tcBorders>
            <w:shd w:val="clear" w:color="000000" w:fill="FFFFFF"/>
            <w:vAlign w:val="center"/>
            <w:hideMark/>
          </w:tcPr>
          <w:p w14:paraId="534AAEC0"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 xml:space="preserve"> Non-Profit Institutions Serving Households</w:t>
            </w:r>
          </w:p>
        </w:tc>
        <w:tc>
          <w:tcPr>
            <w:tcW w:w="2285" w:type="dxa"/>
            <w:tcBorders>
              <w:top w:val="nil"/>
              <w:left w:val="nil"/>
              <w:bottom w:val="single" w:sz="8" w:space="0" w:color="auto"/>
              <w:right w:val="single" w:sz="8" w:space="0" w:color="auto"/>
            </w:tcBorders>
            <w:shd w:val="clear" w:color="auto" w:fill="auto"/>
            <w:vAlign w:val="center"/>
            <w:hideMark/>
          </w:tcPr>
          <w:p w14:paraId="731ED357" w14:textId="3A32F8C3" w:rsidR="00E321CD" w:rsidRPr="005D76AD" w:rsidRDefault="00EE62FE" w:rsidP="0098762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2551" w:type="dxa"/>
            <w:tcBorders>
              <w:top w:val="nil"/>
              <w:left w:val="nil"/>
              <w:bottom w:val="single" w:sz="8" w:space="0" w:color="auto"/>
              <w:right w:val="single" w:sz="8" w:space="0" w:color="auto"/>
            </w:tcBorders>
            <w:shd w:val="clear" w:color="000000" w:fill="FFFFFF"/>
            <w:vAlign w:val="center"/>
            <w:hideMark/>
          </w:tcPr>
          <w:p w14:paraId="009E9769" w14:textId="1BE16D93" w:rsidR="00E321CD" w:rsidRPr="00EE62FE" w:rsidRDefault="00EE62FE" w:rsidP="0098762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E321CD" w:rsidRPr="005D76AD" w14:paraId="3E7A58A1" w14:textId="77777777" w:rsidTr="00EE62FE">
        <w:trPr>
          <w:trHeight w:val="315"/>
        </w:trPr>
        <w:tc>
          <w:tcPr>
            <w:tcW w:w="2100" w:type="dxa"/>
            <w:tcBorders>
              <w:top w:val="nil"/>
              <w:left w:val="single" w:sz="8" w:space="0" w:color="auto"/>
              <w:bottom w:val="single" w:sz="8" w:space="0" w:color="auto"/>
              <w:right w:val="single" w:sz="8" w:space="0" w:color="auto"/>
            </w:tcBorders>
            <w:shd w:val="clear" w:color="000000" w:fill="FFFFFF"/>
            <w:vAlign w:val="center"/>
            <w:hideMark/>
          </w:tcPr>
          <w:p w14:paraId="6928F977" w14:textId="77777777" w:rsidR="00E321CD" w:rsidRPr="00677641" w:rsidRDefault="00E321CD" w:rsidP="00987626">
            <w:pPr>
              <w:spacing w:after="0" w:line="240" w:lineRule="auto"/>
              <w:rPr>
                <w:rFonts w:ascii="Times New Roman" w:eastAsia="Times New Roman" w:hAnsi="Times New Roman" w:cs="Times New Roman"/>
                <w:color w:val="000000"/>
                <w:sz w:val="20"/>
                <w:szCs w:val="20"/>
              </w:rPr>
            </w:pPr>
            <w:r w:rsidRPr="00677641">
              <w:rPr>
                <w:rFonts w:ascii="Times New Roman" w:eastAsia="Times New Roman" w:hAnsi="Times New Roman" w:cs="Times New Roman"/>
                <w:color w:val="000000"/>
                <w:sz w:val="20"/>
                <w:szCs w:val="20"/>
              </w:rPr>
              <w:lastRenderedPageBreak/>
              <w:t xml:space="preserve"> Non-Residents</w:t>
            </w:r>
          </w:p>
        </w:tc>
        <w:tc>
          <w:tcPr>
            <w:tcW w:w="2285" w:type="dxa"/>
            <w:tcBorders>
              <w:top w:val="nil"/>
              <w:left w:val="nil"/>
              <w:bottom w:val="single" w:sz="8" w:space="0" w:color="auto"/>
              <w:right w:val="single" w:sz="8" w:space="0" w:color="auto"/>
            </w:tcBorders>
            <w:shd w:val="clear" w:color="000000" w:fill="FFFFFF"/>
            <w:vAlign w:val="center"/>
            <w:hideMark/>
          </w:tcPr>
          <w:p w14:paraId="63F73E5E" w14:textId="21DB0CA1" w:rsidR="00E321CD" w:rsidRPr="00677641" w:rsidRDefault="00EE62FE" w:rsidP="00987626">
            <w:pPr>
              <w:spacing w:after="0" w:line="240" w:lineRule="auto"/>
              <w:jc w:val="right"/>
              <w:rPr>
                <w:rFonts w:ascii="Times New Roman" w:eastAsia="Times New Roman" w:hAnsi="Times New Roman" w:cs="Times New Roman"/>
                <w:color w:val="000000"/>
                <w:sz w:val="20"/>
                <w:szCs w:val="20"/>
              </w:rPr>
            </w:pPr>
            <w:r w:rsidRPr="00677641">
              <w:rPr>
                <w:rFonts w:ascii="Times New Roman" w:eastAsia="Times New Roman" w:hAnsi="Times New Roman" w:cs="Times New Roman"/>
                <w:color w:val="000000"/>
                <w:sz w:val="20"/>
                <w:szCs w:val="20"/>
              </w:rPr>
              <w:t>-</w:t>
            </w:r>
          </w:p>
        </w:tc>
        <w:tc>
          <w:tcPr>
            <w:tcW w:w="2551" w:type="dxa"/>
            <w:tcBorders>
              <w:top w:val="nil"/>
              <w:left w:val="nil"/>
              <w:bottom w:val="single" w:sz="8" w:space="0" w:color="auto"/>
              <w:right w:val="single" w:sz="8" w:space="0" w:color="auto"/>
            </w:tcBorders>
            <w:shd w:val="clear" w:color="000000" w:fill="FFFFFF"/>
            <w:vAlign w:val="center"/>
            <w:hideMark/>
          </w:tcPr>
          <w:p w14:paraId="1F208AD2" w14:textId="30BCBCE5" w:rsidR="00E321CD" w:rsidRPr="00677641" w:rsidRDefault="00EE62FE" w:rsidP="00987626">
            <w:pPr>
              <w:spacing w:after="0" w:line="240" w:lineRule="auto"/>
              <w:jc w:val="right"/>
              <w:rPr>
                <w:rFonts w:ascii="Times New Roman" w:eastAsia="Times New Roman" w:hAnsi="Times New Roman" w:cs="Times New Roman"/>
                <w:color w:val="000000"/>
                <w:sz w:val="20"/>
                <w:szCs w:val="20"/>
              </w:rPr>
            </w:pPr>
            <w:r w:rsidRPr="00677641">
              <w:rPr>
                <w:rFonts w:ascii="Times New Roman" w:eastAsia="Times New Roman" w:hAnsi="Times New Roman" w:cs="Times New Roman"/>
                <w:color w:val="000000"/>
                <w:sz w:val="20"/>
                <w:szCs w:val="20"/>
              </w:rPr>
              <w:t>-</w:t>
            </w:r>
          </w:p>
        </w:tc>
      </w:tr>
      <w:tr w:rsidR="00E321CD" w:rsidRPr="005D76AD" w14:paraId="1317640A" w14:textId="77777777" w:rsidTr="00EE62FE">
        <w:trPr>
          <w:trHeight w:val="315"/>
        </w:trPr>
        <w:tc>
          <w:tcPr>
            <w:tcW w:w="2100" w:type="dxa"/>
            <w:tcBorders>
              <w:top w:val="nil"/>
              <w:left w:val="single" w:sz="8" w:space="0" w:color="auto"/>
              <w:bottom w:val="single" w:sz="8" w:space="0" w:color="auto"/>
              <w:right w:val="single" w:sz="8" w:space="0" w:color="auto"/>
            </w:tcBorders>
            <w:shd w:val="clear" w:color="000000" w:fill="FFFFFF"/>
            <w:vAlign w:val="center"/>
            <w:hideMark/>
          </w:tcPr>
          <w:p w14:paraId="76A6F71F" w14:textId="77777777" w:rsidR="00E321CD" w:rsidRPr="00677641" w:rsidRDefault="00E321CD" w:rsidP="00987626">
            <w:pPr>
              <w:spacing w:after="0" w:line="240" w:lineRule="auto"/>
              <w:rPr>
                <w:rFonts w:ascii="Times New Roman" w:eastAsia="Times New Roman" w:hAnsi="Times New Roman" w:cs="Times New Roman"/>
                <w:color w:val="000000"/>
                <w:sz w:val="20"/>
                <w:szCs w:val="20"/>
              </w:rPr>
            </w:pPr>
            <w:r w:rsidRPr="00677641">
              <w:rPr>
                <w:rFonts w:ascii="Times New Roman" w:eastAsia="Times New Roman" w:hAnsi="Times New Roman" w:cs="Times New Roman"/>
                <w:color w:val="000000"/>
                <w:sz w:val="20"/>
                <w:szCs w:val="20"/>
              </w:rPr>
              <w:t xml:space="preserve"> Finance companies</w:t>
            </w:r>
          </w:p>
        </w:tc>
        <w:tc>
          <w:tcPr>
            <w:tcW w:w="2285" w:type="dxa"/>
            <w:tcBorders>
              <w:top w:val="nil"/>
              <w:left w:val="nil"/>
              <w:bottom w:val="single" w:sz="8" w:space="0" w:color="auto"/>
              <w:right w:val="single" w:sz="8" w:space="0" w:color="auto"/>
            </w:tcBorders>
            <w:shd w:val="clear" w:color="000000" w:fill="FFFFFF"/>
            <w:vAlign w:val="center"/>
            <w:hideMark/>
          </w:tcPr>
          <w:p w14:paraId="7E6349E8" w14:textId="77777777" w:rsidR="00E321CD" w:rsidRPr="00677641" w:rsidRDefault="00E321CD" w:rsidP="00987626">
            <w:pPr>
              <w:spacing w:after="0" w:line="240" w:lineRule="auto"/>
              <w:jc w:val="right"/>
              <w:rPr>
                <w:rFonts w:ascii="Times New Roman" w:eastAsia="Times New Roman" w:hAnsi="Times New Roman" w:cs="Times New Roman"/>
                <w:color w:val="000000"/>
                <w:sz w:val="20"/>
                <w:szCs w:val="20"/>
              </w:rPr>
            </w:pPr>
            <w:r w:rsidRPr="00677641">
              <w:rPr>
                <w:rFonts w:ascii="Times New Roman" w:eastAsia="Times New Roman" w:hAnsi="Times New Roman" w:cs="Times New Roman"/>
                <w:color w:val="000000"/>
                <w:sz w:val="20"/>
                <w:szCs w:val="20"/>
              </w:rPr>
              <w:t>3</w:t>
            </w:r>
          </w:p>
        </w:tc>
        <w:tc>
          <w:tcPr>
            <w:tcW w:w="2551" w:type="dxa"/>
            <w:tcBorders>
              <w:top w:val="nil"/>
              <w:left w:val="nil"/>
              <w:bottom w:val="single" w:sz="8" w:space="0" w:color="auto"/>
              <w:right w:val="single" w:sz="8" w:space="0" w:color="auto"/>
            </w:tcBorders>
            <w:shd w:val="clear" w:color="000000" w:fill="FFFFFF"/>
            <w:vAlign w:val="center"/>
            <w:hideMark/>
          </w:tcPr>
          <w:p w14:paraId="42174DFB" w14:textId="77777777" w:rsidR="00E321CD" w:rsidRPr="00677641" w:rsidRDefault="00E321CD" w:rsidP="00987626">
            <w:pPr>
              <w:spacing w:after="0" w:line="240" w:lineRule="auto"/>
              <w:jc w:val="right"/>
              <w:rPr>
                <w:rFonts w:ascii="Times New Roman" w:eastAsia="Times New Roman" w:hAnsi="Times New Roman" w:cs="Times New Roman"/>
                <w:color w:val="000000"/>
                <w:sz w:val="20"/>
                <w:szCs w:val="20"/>
              </w:rPr>
            </w:pPr>
            <w:r w:rsidRPr="00677641">
              <w:rPr>
                <w:rFonts w:ascii="Times New Roman" w:eastAsia="Times New Roman" w:hAnsi="Times New Roman" w:cs="Times New Roman"/>
                <w:color w:val="000000"/>
                <w:sz w:val="20"/>
                <w:szCs w:val="20"/>
              </w:rPr>
              <w:t>2</w:t>
            </w:r>
          </w:p>
        </w:tc>
      </w:tr>
      <w:tr w:rsidR="00E321CD" w:rsidRPr="005D76AD" w14:paraId="13C2928F" w14:textId="77777777" w:rsidTr="00EE62FE">
        <w:trPr>
          <w:trHeight w:val="315"/>
        </w:trPr>
        <w:tc>
          <w:tcPr>
            <w:tcW w:w="2100" w:type="dxa"/>
            <w:tcBorders>
              <w:top w:val="nil"/>
              <w:left w:val="single" w:sz="8" w:space="0" w:color="auto"/>
              <w:bottom w:val="single" w:sz="8" w:space="0" w:color="auto"/>
              <w:right w:val="single" w:sz="8" w:space="0" w:color="auto"/>
            </w:tcBorders>
            <w:shd w:val="clear" w:color="000000" w:fill="FFFFFF"/>
            <w:vAlign w:val="center"/>
            <w:hideMark/>
          </w:tcPr>
          <w:p w14:paraId="03657C8C" w14:textId="77777777" w:rsidR="00E321CD" w:rsidRPr="005D76AD" w:rsidRDefault="00E321CD" w:rsidP="00987626">
            <w:pPr>
              <w:spacing w:after="0" w:line="240" w:lineRule="auto"/>
              <w:rPr>
                <w:rFonts w:ascii="Times New Roman" w:eastAsia="Times New Roman" w:hAnsi="Times New Roman" w:cs="Times New Roman"/>
                <w:b/>
                <w:bCs/>
                <w:color w:val="000000"/>
                <w:sz w:val="20"/>
                <w:szCs w:val="20"/>
              </w:rPr>
            </w:pPr>
            <w:r w:rsidRPr="005D76AD">
              <w:rPr>
                <w:rFonts w:ascii="Times New Roman" w:eastAsia="Times New Roman" w:hAnsi="Times New Roman" w:cs="Times New Roman"/>
                <w:b/>
                <w:bCs/>
                <w:color w:val="000000"/>
                <w:sz w:val="20"/>
                <w:szCs w:val="20"/>
              </w:rPr>
              <w:t>TOTAL</w:t>
            </w:r>
          </w:p>
        </w:tc>
        <w:tc>
          <w:tcPr>
            <w:tcW w:w="2285" w:type="dxa"/>
            <w:tcBorders>
              <w:top w:val="nil"/>
              <w:left w:val="nil"/>
              <w:bottom w:val="single" w:sz="8" w:space="0" w:color="auto"/>
              <w:right w:val="single" w:sz="8" w:space="0" w:color="auto"/>
            </w:tcBorders>
            <w:shd w:val="clear" w:color="auto" w:fill="auto"/>
            <w:vAlign w:val="center"/>
            <w:hideMark/>
          </w:tcPr>
          <w:p w14:paraId="6767C114" w14:textId="77777777" w:rsidR="00E321CD" w:rsidRPr="005D76AD" w:rsidRDefault="00E321CD" w:rsidP="00987626">
            <w:pPr>
              <w:spacing w:after="0" w:line="240" w:lineRule="auto"/>
              <w:jc w:val="right"/>
              <w:rPr>
                <w:rFonts w:ascii="Times New Roman" w:eastAsia="Times New Roman" w:hAnsi="Times New Roman" w:cs="Times New Roman"/>
                <w:b/>
                <w:bCs/>
                <w:color w:val="000000"/>
                <w:sz w:val="20"/>
                <w:szCs w:val="20"/>
              </w:rPr>
            </w:pPr>
            <w:r w:rsidRPr="005D76AD">
              <w:rPr>
                <w:rFonts w:ascii="Times New Roman" w:eastAsia="Times New Roman" w:hAnsi="Times New Roman" w:cs="Times New Roman"/>
                <w:b/>
                <w:bCs/>
                <w:color w:val="000000"/>
                <w:sz w:val="20"/>
                <w:szCs w:val="20"/>
              </w:rPr>
              <w:t>96,219</w:t>
            </w:r>
          </w:p>
        </w:tc>
        <w:tc>
          <w:tcPr>
            <w:tcW w:w="2551" w:type="dxa"/>
            <w:tcBorders>
              <w:top w:val="nil"/>
              <w:left w:val="nil"/>
              <w:bottom w:val="single" w:sz="8" w:space="0" w:color="auto"/>
              <w:right w:val="single" w:sz="8" w:space="0" w:color="auto"/>
            </w:tcBorders>
            <w:shd w:val="clear" w:color="auto" w:fill="auto"/>
            <w:vAlign w:val="center"/>
            <w:hideMark/>
          </w:tcPr>
          <w:p w14:paraId="1266FB47" w14:textId="77777777" w:rsidR="00E321CD" w:rsidRPr="005D76AD" w:rsidRDefault="00E321CD" w:rsidP="00987626">
            <w:pPr>
              <w:spacing w:after="0" w:line="240" w:lineRule="auto"/>
              <w:jc w:val="right"/>
              <w:rPr>
                <w:rFonts w:ascii="Times New Roman" w:eastAsia="Times New Roman" w:hAnsi="Times New Roman" w:cs="Times New Roman"/>
                <w:b/>
                <w:bCs/>
                <w:color w:val="000000"/>
                <w:sz w:val="20"/>
                <w:szCs w:val="20"/>
              </w:rPr>
            </w:pPr>
            <w:r w:rsidRPr="005D76AD">
              <w:rPr>
                <w:rFonts w:ascii="Times New Roman" w:eastAsia="Times New Roman" w:hAnsi="Times New Roman" w:cs="Times New Roman"/>
                <w:b/>
                <w:bCs/>
                <w:color w:val="000000"/>
                <w:sz w:val="20"/>
                <w:szCs w:val="20"/>
              </w:rPr>
              <w:t>72,361</w:t>
            </w:r>
          </w:p>
        </w:tc>
      </w:tr>
    </w:tbl>
    <w:p w14:paraId="1EC64C26" w14:textId="77777777" w:rsidR="00F160A2" w:rsidRDefault="00E321CD" w:rsidP="00E321CD">
      <w:pPr>
        <w:jc w:val="both"/>
        <w:rPr>
          <w:rFonts w:ascii="Times New Roman" w:hAnsi="Times New Roman" w:cs="Times New Roman"/>
          <w:b/>
          <w:sz w:val="20"/>
          <w:szCs w:val="20"/>
        </w:rPr>
      </w:pPr>
      <w:r>
        <w:rPr>
          <w:rFonts w:ascii="Times New Roman" w:hAnsi="Times New Roman" w:cs="Times New Roman"/>
          <w:b/>
          <w:sz w:val="20"/>
          <w:szCs w:val="20"/>
        </w:rPr>
        <w:fldChar w:fldCharType="end"/>
      </w:r>
    </w:p>
    <w:p w14:paraId="2853A88C" w14:textId="04753030" w:rsidR="00E321CD" w:rsidRPr="00EF143A" w:rsidRDefault="00E321CD" w:rsidP="00E321CD">
      <w:pPr>
        <w:jc w:val="both"/>
        <w:rPr>
          <w:rFonts w:ascii="Times New Roman" w:hAnsi="Times New Roman" w:cs="Times New Roman"/>
          <w:b/>
          <w:sz w:val="20"/>
          <w:szCs w:val="20"/>
        </w:rPr>
      </w:pPr>
      <w:r w:rsidRPr="00EF143A">
        <w:rPr>
          <w:rFonts w:ascii="Times New Roman" w:hAnsi="Times New Roman" w:cs="Times New Roman"/>
          <w:b/>
          <w:sz w:val="20"/>
          <w:szCs w:val="20"/>
        </w:rPr>
        <w:t>Impaired/ Past Due Loans by Geography including the amounts of specific and general provisions for the Geography (P’000)</w:t>
      </w:r>
    </w:p>
    <w:p w14:paraId="2C75CB8B" w14:textId="1FB4D6F1" w:rsidR="00E321CD" w:rsidRDefault="00E321CD" w:rsidP="00E321CD">
      <w:pPr>
        <w:autoSpaceDE w:val="0"/>
        <w:autoSpaceDN w:val="0"/>
        <w:adjustRightInd w:val="0"/>
        <w:spacing w:after="0"/>
        <w:jc w:val="both"/>
      </w:pPr>
      <w:r>
        <w:rPr>
          <w:rStyle w:val="A5"/>
          <w:rFonts w:ascii="Times New Roman" w:hAnsi="Times New Roman" w:cs="Times New Roman"/>
          <w:b/>
          <w:color w:val="auto"/>
          <w:sz w:val="20"/>
          <w:szCs w:val="20"/>
          <w:highlight w:val="yellow"/>
        </w:rPr>
        <w:fldChar w:fldCharType="begin"/>
      </w:r>
      <w:r>
        <w:rPr>
          <w:rStyle w:val="A5"/>
          <w:rFonts w:ascii="Times New Roman" w:hAnsi="Times New Roman" w:cs="Times New Roman"/>
          <w:b/>
          <w:color w:val="auto"/>
          <w:sz w:val="20"/>
          <w:szCs w:val="20"/>
          <w:highlight w:val="yellow"/>
        </w:rPr>
        <w:instrText xml:space="preserve"> LINK Excel.Sheet.12 "\\\\cbbwfilestore\\risk2\\Credit Reporting\\Statutory Return\\2022\\Mar\\Pillar 3 Tables.xlsx" "Last tables!R2C3:R5C7" \a \f 4 \h </w:instrText>
      </w:r>
      <w:r w:rsidR="00EE62FE">
        <w:rPr>
          <w:rStyle w:val="A5"/>
          <w:rFonts w:ascii="Times New Roman" w:hAnsi="Times New Roman" w:cs="Times New Roman"/>
          <w:b/>
          <w:color w:val="auto"/>
          <w:sz w:val="20"/>
          <w:szCs w:val="20"/>
          <w:highlight w:val="yellow"/>
        </w:rPr>
        <w:instrText xml:space="preserve"> \* MERGEFORMAT </w:instrText>
      </w:r>
      <w:r>
        <w:rPr>
          <w:rStyle w:val="A5"/>
          <w:rFonts w:ascii="Times New Roman" w:hAnsi="Times New Roman" w:cs="Times New Roman"/>
          <w:b/>
          <w:color w:val="auto"/>
          <w:sz w:val="20"/>
          <w:szCs w:val="20"/>
          <w:highlight w:val="yellow"/>
        </w:rPr>
        <w:fldChar w:fldCharType="separate"/>
      </w:r>
    </w:p>
    <w:tbl>
      <w:tblPr>
        <w:tblW w:w="6086" w:type="dxa"/>
        <w:tblLook w:val="04A0" w:firstRow="1" w:lastRow="0" w:firstColumn="1" w:lastColumn="0" w:noHBand="0" w:noVBand="1"/>
      </w:tblPr>
      <w:tblGrid>
        <w:gridCol w:w="1294"/>
        <w:gridCol w:w="1106"/>
        <w:gridCol w:w="1559"/>
        <w:gridCol w:w="993"/>
        <w:gridCol w:w="1134"/>
      </w:tblGrid>
      <w:tr w:rsidR="00E321CD" w:rsidRPr="005D76AD" w14:paraId="7A16225A" w14:textId="77777777" w:rsidTr="00677641">
        <w:trPr>
          <w:trHeight w:val="525"/>
        </w:trPr>
        <w:tc>
          <w:tcPr>
            <w:tcW w:w="1294" w:type="dxa"/>
            <w:tcBorders>
              <w:top w:val="single" w:sz="8" w:space="0" w:color="auto"/>
              <w:left w:val="single" w:sz="8" w:space="0" w:color="auto"/>
              <w:bottom w:val="single" w:sz="8" w:space="0" w:color="auto"/>
              <w:right w:val="single" w:sz="8" w:space="0" w:color="auto"/>
            </w:tcBorders>
            <w:shd w:val="clear" w:color="000000" w:fill="92D050"/>
            <w:vAlign w:val="center"/>
            <w:hideMark/>
          </w:tcPr>
          <w:p w14:paraId="3E0E4E51"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 xml:space="preserve">Geographical </w:t>
            </w:r>
          </w:p>
        </w:tc>
        <w:tc>
          <w:tcPr>
            <w:tcW w:w="1106" w:type="dxa"/>
            <w:tcBorders>
              <w:top w:val="single" w:sz="8" w:space="0" w:color="auto"/>
              <w:left w:val="nil"/>
              <w:bottom w:val="single" w:sz="8" w:space="0" w:color="auto"/>
              <w:right w:val="single" w:sz="8" w:space="0" w:color="auto"/>
            </w:tcBorders>
            <w:shd w:val="clear" w:color="000000" w:fill="92D050"/>
            <w:noWrap/>
            <w:vAlign w:val="center"/>
            <w:hideMark/>
          </w:tcPr>
          <w:p w14:paraId="45DF4374"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Past Due</w:t>
            </w:r>
          </w:p>
        </w:tc>
        <w:tc>
          <w:tcPr>
            <w:tcW w:w="1559" w:type="dxa"/>
            <w:tcBorders>
              <w:top w:val="single" w:sz="8" w:space="0" w:color="auto"/>
              <w:left w:val="nil"/>
              <w:bottom w:val="single" w:sz="8" w:space="0" w:color="auto"/>
              <w:right w:val="single" w:sz="8" w:space="0" w:color="auto"/>
            </w:tcBorders>
            <w:shd w:val="clear" w:color="000000" w:fill="92D050"/>
            <w:noWrap/>
            <w:vAlign w:val="center"/>
            <w:hideMark/>
          </w:tcPr>
          <w:p w14:paraId="212BA4AA"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Non-performing</w:t>
            </w:r>
          </w:p>
        </w:tc>
        <w:tc>
          <w:tcPr>
            <w:tcW w:w="993" w:type="dxa"/>
            <w:tcBorders>
              <w:top w:val="single" w:sz="8" w:space="0" w:color="auto"/>
              <w:left w:val="nil"/>
              <w:bottom w:val="single" w:sz="8" w:space="0" w:color="auto"/>
              <w:right w:val="single" w:sz="8" w:space="0" w:color="auto"/>
            </w:tcBorders>
            <w:shd w:val="clear" w:color="000000" w:fill="92D050"/>
            <w:vAlign w:val="center"/>
            <w:hideMark/>
          </w:tcPr>
          <w:p w14:paraId="2258DA56"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Specific Provision</w:t>
            </w:r>
          </w:p>
        </w:tc>
        <w:tc>
          <w:tcPr>
            <w:tcW w:w="1134" w:type="dxa"/>
            <w:tcBorders>
              <w:top w:val="single" w:sz="8" w:space="0" w:color="auto"/>
              <w:left w:val="nil"/>
              <w:bottom w:val="single" w:sz="8" w:space="0" w:color="auto"/>
              <w:right w:val="single" w:sz="8" w:space="0" w:color="auto"/>
            </w:tcBorders>
            <w:shd w:val="clear" w:color="000000" w:fill="92D050"/>
            <w:noWrap/>
            <w:vAlign w:val="center"/>
            <w:hideMark/>
          </w:tcPr>
          <w:p w14:paraId="45BCE125"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General Provision</w:t>
            </w:r>
          </w:p>
        </w:tc>
      </w:tr>
      <w:tr w:rsidR="00E321CD" w:rsidRPr="005D76AD" w14:paraId="21814C95" w14:textId="77777777" w:rsidTr="00677641">
        <w:trPr>
          <w:trHeight w:val="525"/>
        </w:trPr>
        <w:tc>
          <w:tcPr>
            <w:tcW w:w="1294" w:type="dxa"/>
            <w:tcBorders>
              <w:top w:val="nil"/>
              <w:left w:val="single" w:sz="8" w:space="0" w:color="auto"/>
              <w:bottom w:val="single" w:sz="8" w:space="0" w:color="auto"/>
              <w:right w:val="single" w:sz="8" w:space="0" w:color="auto"/>
            </w:tcBorders>
            <w:shd w:val="clear" w:color="auto" w:fill="auto"/>
            <w:vAlign w:val="center"/>
            <w:hideMark/>
          </w:tcPr>
          <w:p w14:paraId="3E30D5B3"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International</w:t>
            </w:r>
          </w:p>
        </w:tc>
        <w:tc>
          <w:tcPr>
            <w:tcW w:w="1106" w:type="dxa"/>
            <w:tcBorders>
              <w:top w:val="nil"/>
              <w:left w:val="nil"/>
              <w:bottom w:val="single" w:sz="8" w:space="0" w:color="auto"/>
              <w:right w:val="single" w:sz="8" w:space="0" w:color="auto"/>
            </w:tcBorders>
            <w:shd w:val="clear" w:color="auto" w:fill="auto"/>
            <w:noWrap/>
            <w:vAlign w:val="center"/>
            <w:hideMark/>
          </w:tcPr>
          <w:p w14:paraId="7283095E" w14:textId="449EEB47" w:rsidR="00E321CD" w:rsidRPr="005D76AD" w:rsidRDefault="00EE62FE" w:rsidP="00EE62F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559" w:type="dxa"/>
            <w:tcBorders>
              <w:top w:val="nil"/>
              <w:left w:val="nil"/>
              <w:bottom w:val="single" w:sz="8" w:space="0" w:color="auto"/>
              <w:right w:val="single" w:sz="8" w:space="0" w:color="auto"/>
            </w:tcBorders>
            <w:shd w:val="clear" w:color="auto" w:fill="auto"/>
            <w:noWrap/>
            <w:vAlign w:val="center"/>
            <w:hideMark/>
          </w:tcPr>
          <w:p w14:paraId="280B5715" w14:textId="4BAFF261" w:rsidR="00E321CD" w:rsidRPr="005D76AD" w:rsidRDefault="00EE62FE" w:rsidP="0098762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93" w:type="dxa"/>
            <w:tcBorders>
              <w:top w:val="nil"/>
              <w:left w:val="nil"/>
              <w:bottom w:val="single" w:sz="8" w:space="0" w:color="auto"/>
              <w:right w:val="single" w:sz="8" w:space="0" w:color="auto"/>
            </w:tcBorders>
            <w:shd w:val="clear" w:color="auto" w:fill="auto"/>
            <w:noWrap/>
            <w:vAlign w:val="center"/>
            <w:hideMark/>
          </w:tcPr>
          <w:p w14:paraId="561884E3" w14:textId="65448CC8" w:rsidR="00E321CD" w:rsidRPr="005D76AD" w:rsidRDefault="00EE62FE" w:rsidP="0098762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134" w:type="dxa"/>
            <w:tcBorders>
              <w:top w:val="nil"/>
              <w:left w:val="nil"/>
              <w:bottom w:val="single" w:sz="8" w:space="0" w:color="000000"/>
              <w:right w:val="single" w:sz="8" w:space="0" w:color="auto"/>
            </w:tcBorders>
            <w:shd w:val="clear" w:color="auto" w:fill="auto"/>
            <w:noWrap/>
            <w:vAlign w:val="center"/>
            <w:hideMark/>
          </w:tcPr>
          <w:p w14:paraId="05AEE484" w14:textId="690D7887" w:rsidR="00E321CD" w:rsidRPr="005D76AD" w:rsidRDefault="00EE62FE" w:rsidP="0098762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E321CD" w:rsidRPr="005D76AD" w14:paraId="2C5AF466" w14:textId="77777777" w:rsidTr="00677641">
        <w:trPr>
          <w:trHeight w:val="315"/>
        </w:trPr>
        <w:tc>
          <w:tcPr>
            <w:tcW w:w="1294" w:type="dxa"/>
            <w:tcBorders>
              <w:top w:val="nil"/>
              <w:left w:val="single" w:sz="8" w:space="0" w:color="auto"/>
              <w:bottom w:val="single" w:sz="8" w:space="0" w:color="auto"/>
              <w:right w:val="single" w:sz="8" w:space="0" w:color="auto"/>
            </w:tcBorders>
            <w:shd w:val="clear" w:color="auto" w:fill="auto"/>
            <w:vAlign w:val="center"/>
            <w:hideMark/>
          </w:tcPr>
          <w:p w14:paraId="7863C58B" w14:textId="77777777" w:rsidR="00E321CD" w:rsidRPr="005D76AD" w:rsidRDefault="00E321CD" w:rsidP="00987626">
            <w:pPr>
              <w:spacing w:after="0" w:line="240" w:lineRule="auto"/>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Domestic</w:t>
            </w:r>
          </w:p>
        </w:tc>
        <w:tc>
          <w:tcPr>
            <w:tcW w:w="1106" w:type="dxa"/>
            <w:tcBorders>
              <w:top w:val="nil"/>
              <w:left w:val="nil"/>
              <w:bottom w:val="single" w:sz="8" w:space="0" w:color="auto"/>
              <w:right w:val="single" w:sz="8" w:space="0" w:color="auto"/>
            </w:tcBorders>
            <w:shd w:val="clear" w:color="auto" w:fill="auto"/>
            <w:noWrap/>
            <w:vAlign w:val="center"/>
            <w:hideMark/>
          </w:tcPr>
          <w:p w14:paraId="269E6866"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96,219</w:t>
            </w:r>
          </w:p>
        </w:tc>
        <w:tc>
          <w:tcPr>
            <w:tcW w:w="1559" w:type="dxa"/>
            <w:tcBorders>
              <w:top w:val="nil"/>
              <w:left w:val="nil"/>
              <w:bottom w:val="single" w:sz="8" w:space="0" w:color="auto"/>
              <w:right w:val="single" w:sz="8" w:space="0" w:color="auto"/>
            </w:tcBorders>
            <w:shd w:val="clear" w:color="auto" w:fill="auto"/>
            <w:noWrap/>
            <w:vAlign w:val="center"/>
            <w:hideMark/>
          </w:tcPr>
          <w:p w14:paraId="2617D11F"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72,361</w:t>
            </w:r>
          </w:p>
        </w:tc>
        <w:tc>
          <w:tcPr>
            <w:tcW w:w="993" w:type="dxa"/>
            <w:tcBorders>
              <w:top w:val="nil"/>
              <w:left w:val="nil"/>
              <w:bottom w:val="single" w:sz="8" w:space="0" w:color="auto"/>
              <w:right w:val="single" w:sz="8" w:space="0" w:color="auto"/>
            </w:tcBorders>
            <w:shd w:val="clear" w:color="auto" w:fill="auto"/>
            <w:noWrap/>
            <w:vAlign w:val="center"/>
            <w:hideMark/>
          </w:tcPr>
          <w:p w14:paraId="7ABE5159"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21,209</w:t>
            </w:r>
          </w:p>
        </w:tc>
        <w:tc>
          <w:tcPr>
            <w:tcW w:w="1134" w:type="dxa"/>
            <w:tcBorders>
              <w:top w:val="nil"/>
              <w:left w:val="nil"/>
              <w:bottom w:val="single" w:sz="8" w:space="0" w:color="000000"/>
              <w:right w:val="single" w:sz="8" w:space="0" w:color="auto"/>
            </w:tcBorders>
            <w:shd w:val="clear" w:color="auto" w:fill="auto"/>
            <w:vAlign w:val="center"/>
            <w:hideMark/>
          </w:tcPr>
          <w:p w14:paraId="7243C149" w14:textId="58164094" w:rsidR="00E321CD" w:rsidRPr="005D76AD" w:rsidRDefault="00EE62FE" w:rsidP="0098762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E321CD" w:rsidRPr="005D76AD" w14:paraId="4FFB3E03" w14:textId="77777777" w:rsidTr="00677641">
        <w:trPr>
          <w:trHeight w:val="315"/>
        </w:trPr>
        <w:tc>
          <w:tcPr>
            <w:tcW w:w="1294" w:type="dxa"/>
            <w:tcBorders>
              <w:top w:val="nil"/>
              <w:left w:val="single" w:sz="8" w:space="0" w:color="auto"/>
              <w:bottom w:val="single" w:sz="8" w:space="0" w:color="auto"/>
              <w:right w:val="single" w:sz="8" w:space="0" w:color="auto"/>
            </w:tcBorders>
            <w:shd w:val="clear" w:color="auto" w:fill="auto"/>
            <w:vAlign w:val="center"/>
            <w:hideMark/>
          </w:tcPr>
          <w:p w14:paraId="385EAFAB" w14:textId="77777777" w:rsidR="00E321CD" w:rsidRPr="005D76AD" w:rsidRDefault="00E321CD" w:rsidP="00987626">
            <w:pPr>
              <w:spacing w:after="0" w:line="240" w:lineRule="auto"/>
              <w:rPr>
                <w:rFonts w:ascii="Times New Roman" w:eastAsia="Times New Roman" w:hAnsi="Times New Roman" w:cs="Times New Roman"/>
                <w:b/>
                <w:bCs/>
                <w:color w:val="000000"/>
                <w:sz w:val="20"/>
                <w:szCs w:val="20"/>
              </w:rPr>
            </w:pPr>
            <w:r w:rsidRPr="005D76AD">
              <w:rPr>
                <w:rFonts w:ascii="Times New Roman" w:eastAsia="Times New Roman" w:hAnsi="Times New Roman" w:cs="Times New Roman"/>
                <w:b/>
                <w:bCs/>
                <w:color w:val="000000"/>
                <w:sz w:val="20"/>
                <w:szCs w:val="20"/>
              </w:rPr>
              <w:t>TOTAL</w:t>
            </w:r>
          </w:p>
        </w:tc>
        <w:tc>
          <w:tcPr>
            <w:tcW w:w="1106" w:type="dxa"/>
            <w:tcBorders>
              <w:top w:val="nil"/>
              <w:left w:val="nil"/>
              <w:bottom w:val="single" w:sz="8" w:space="0" w:color="auto"/>
              <w:right w:val="single" w:sz="8" w:space="0" w:color="auto"/>
            </w:tcBorders>
            <w:shd w:val="clear" w:color="auto" w:fill="auto"/>
            <w:noWrap/>
            <w:vAlign w:val="center"/>
            <w:hideMark/>
          </w:tcPr>
          <w:p w14:paraId="2385F8F5" w14:textId="77777777" w:rsidR="00E321CD" w:rsidRPr="005D76AD" w:rsidRDefault="00E321CD" w:rsidP="00987626">
            <w:pPr>
              <w:spacing w:after="0" w:line="240" w:lineRule="auto"/>
              <w:jc w:val="right"/>
              <w:rPr>
                <w:rFonts w:ascii="Times New Roman" w:eastAsia="Times New Roman" w:hAnsi="Times New Roman" w:cs="Times New Roman"/>
                <w:b/>
                <w:bCs/>
                <w:color w:val="000000"/>
                <w:sz w:val="20"/>
                <w:szCs w:val="20"/>
              </w:rPr>
            </w:pPr>
            <w:r w:rsidRPr="005D76AD">
              <w:rPr>
                <w:rFonts w:ascii="Times New Roman" w:eastAsia="Times New Roman" w:hAnsi="Times New Roman" w:cs="Times New Roman"/>
                <w:b/>
                <w:bCs/>
                <w:color w:val="000000"/>
                <w:sz w:val="20"/>
                <w:szCs w:val="20"/>
              </w:rPr>
              <w:t>96,219</w:t>
            </w:r>
          </w:p>
        </w:tc>
        <w:tc>
          <w:tcPr>
            <w:tcW w:w="1559" w:type="dxa"/>
            <w:tcBorders>
              <w:top w:val="nil"/>
              <w:left w:val="nil"/>
              <w:bottom w:val="single" w:sz="8" w:space="0" w:color="auto"/>
              <w:right w:val="single" w:sz="8" w:space="0" w:color="auto"/>
            </w:tcBorders>
            <w:shd w:val="clear" w:color="auto" w:fill="auto"/>
            <w:noWrap/>
            <w:vAlign w:val="center"/>
            <w:hideMark/>
          </w:tcPr>
          <w:p w14:paraId="65AC8D91" w14:textId="77777777" w:rsidR="00E321CD" w:rsidRPr="005D76AD" w:rsidRDefault="00E321CD" w:rsidP="00987626">
            <w:pPr>
              <w:spacing w:after="0" w:line="240" w:lineRule="auto"/>
              <w:jc w:val="right"/>
              <w:rPr>
                <w:rFonts w:ascii="Times New Roman" w:eastAsia="Times New Roman" w:hAnsi="Times New Roman" w:cs="Times New Roman"/>
                <w:b/>
                <w:bCs/>
                <w:color w:val="000000"/>
                <w:sz w:val="20"/>
                <w:szCs w:val="20"/>
              </w:rPr>
            </w:pPr>
            <w:r w:rsidRPr="005D76AD">
              <w:rPr>
                <w:rFonts w:ascii="Times New Roman" w:eastAsia="Times New Roman" w:hAnsi="Times New Roman" w:cs="Times New Roman"/>
                <w:b/>
                <w:bCs/>
                <w:color w:val="000000"/>
                <w:sz w:val="20"/>
                <w:szCs w:val="20"/>
              </w:rPr>
              <w:t>72,361</w:t>
            </w:r>
          </w:p>
        </w:tc>
        <w:tc>
          <w:tcPr>
            <w:tcW w:w="993" w:type="dxa"/>
            <w:tcBorders>
              <w:top w:val="nil"/>
              <w:left w:val="nil"/>
              <w:bottom w:val="single" w:sz="8" w:space="0" w:color="auto"/>
              <w:right w:val="single" w:sz="8" w:space="0" w:color="auto"/>
            </w:tcBorders>
            <w:shd w:val="clear" w:color="auto" w:fill="auto"/>
            <w:noWrap/>
            <w:vAlign w:val="center"/>
            <w:hideMark/>
          </w:tcPr>
          <w:p w14:paraId="27BFE738" w14:textId="77777777" w:rsidR="00E321CD" w:rsidRPr="005D76AD" w:rsidRDefault="00E321CD" w:rsidP="00987626">
            <w:pPr>
              <w:spacing w:after="0" w:line="240" w:lineRule="auto"/>
              <w:jc w:val="right"/>
              <w:rPr>
                <w:rFonts w:ascii="Times New Roman" w:eastAsia="Times New Roman" w:hAnsi="Times New Roman" w:cs="Times New Roman"/>
                <w:b/>
                <w:bCs/>
                <w:color w:val="000000"/>
                <w:sz w:val="20"/>
                <w:szCs w:val="20"/>
              </w:rPr>
            </w:pPr>
            <w:r w:rsidRPr="005D76AD">
              <w:rPr>
                <w:rFonts w:ascii="Times New Roman" w:eastAsia="Times New Roman" w:hAnsi="Times New Roman" w:cs="Times New Roman"/>
                <w:b/>
                <w:bCs/>
                <w:color w:val="000000"/>
                <w:sz w:val="20"/>
                <w:szCs w:val="20"/>
              </w:rPr>
              <w:t>21,209</w:t>
            </w:r>
          </w:p>
        </w:tc>
        <w:tc>
          <w:tcPr>
            <w:tcW w:w="1134" w:type="dxa"/>
            <w:tcBorders>
              <w:top w:val="nil"/>
              <w:left w:val="nil"/>
              <w:bottom w:val="single" w:sz="8" w:space="0" w:color="000000"/>
              <w:right w:val="single" w:sz="8" w:space="0" w:color="auto"/>
            </w:tcBorders>
            <w:shd w:val="clear" w:color="auto" w:fill="auto"/>
            <w:noWrap/>
            <w:vAlign w:val="center"/>
            <w:hideMark/>
          </w:tcPr>
          <w:p w14:paraId="08160645" w14:textId="0140CFBE" w:rsidR="00E321CD" w:rsidRPr="005D76AD" w:rsidRDefault="00EE62FE" w:rsidP="00987626">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t>
            </w:r>
          </w:p>
        </w:tc>
      </w:tr>
    </w:tbl>
    <w:p w14:paraId="7486D4B9" w14:textId="77777777" w:rsidR="00E321CD" w:rsidRPr="00EF143A" w:rsidRDefault="00E321CD" w:rsidP="00E321CD">
      <w:pPr>
        <w:autoSpaceDE w:val="0"/>
        <w:autoSpaceDN w:val="0"/>
        <w:adjustRightInd w:val="0"/>
        <w:spacing w:after="0"/>
        <w:jc w:val="both"/>
        <w:rPr>
          <w:rStyle w:val="A5"/>
          <w:rFonts w:ascii="Times New Roman" w:hAnsi="Times New Roman" w:cs="Times New Roman"/>
          <w:b/>
          <w:color w:val="auto"/>
          <w:sz w:val="20"/>
          <w:szCs w:val="20"/>
          <w:highlight w:val="yellow"/>
        </w:rPr>
      </w:pPr>
      <w:r>
        <w:rPr>
          <w:rStyle w:val="A5"/>
          <w:rFonts w:ascii="Times New Roman" w:hAnsi="Times New Roman" w:cs="Times New Roman"/>
          <w:b/>
          <w:color w:val="auto"/>
          <w:sz w:val="20"/>
          <w:szCs w:val="20"/>
          <w:highlight w:val="yellow"/>
        </w:rPr>
        <w:fldChar w:fldCharType="end"/>
      </w:r>
    </w:p>
    <w:p w14:paraId="739BC307" w14:textId="77777777" w:rsidR="00E321CD" w:rsidRPr="00EF143A" w:rsidRDefault="00E321CD" w:rsidP="00E321CD">
      <w:pPr>
        <w:autoSpaceDE w:val="0"/>
        <w:autoSpaceDN w:val="0"/>
        <w:adjustRightInd w:val="0"/>
        <w:spacing w:after="0"/>
        <w:jc w:val="both"/>
        <w:rPr>
          <w:rStyle w:val="A5"/>
          <w:rFonts w:ascii="Times New Roman" w:hAnsi="Times New Roman" w:cs="Times New Roman"/>
          <w:b/>
          <w:color w:val="auto"/>
          <w:sz w:val="20"/>
          <w:szCs w:val="20"/>
        </w:rPr>
      </w:pPr>
      <w:r w:rsidRPr="00EF143A">
        <w:rPr>
          <w:rStyle w:val="A5"/>
          <w:rFonts w:ascii="Times New Roman" w:hAnsi="Times New Roman" w:cs="Times New Roman"/>
          <w:b/>
          <w:color w:val="auto"/>
          <w:sz w:val="20"/>
          <w:szCs w:val="20"/>
        </w:rPr>
        <w:t>Exposure amount subject to the standardised approach (rated and unrated)</w:t>
      </w:r>
    </w:p>
    <w:p w14:paraId="3995CD44" w14:textId="77777777" w:rsidR="00E321CD" w:rsidRDefault="00E321CD" w:rsidP="00E321CD">
      <w:pPr>
        <w:jc w:val="both"/>
      </w:pPr>
      <w:r>
        <w:fldChar w:fldCharType="begin"/>
      </w:r>
      <w:r>
        <w:instrText xml:space="preserve"> LINK Excel.Sheet.12 "\\\\cbbwfilestore\\risk2\\Credit Reporting\\Statutory Return\\2022\\Mar\\Pillar 3 Tables.xlsx" "Last tables!R9C3:R12C6" \a \f 4 \h  \* MERGEFORMAT </w:instrText>
      </w:r>
      <w:r>
        <w:fldChar w:fldCharType="separate"/>
      </w:r>
      <w:bookmarkStart w:id="21" w:name="RANGE!C9"/>
    </w:p>
    <w:tbl>
      <w:tblPr>
        <w:tblW w:w="6369" w:type="dxa"/>
        <w:tblLook w:val="04A0" w:firstRow="1" w:lastRow="0" w:firstColumn="1" w:lastColumn="0" w:noHBand="0" w:noVBand="1"/>
      </w:tblPr>
      <w:tblGrid>
        <w:gridCol w:w="2117"/>
        <w:gridCol w:w="1417"/>
        <w:gridCol w:w="1418"/>
        <w:gridCol w:w="1417"/>
      </w:tblGrid>
      <w:tr w:rsidR="00E321CD" w:rsidRPr="005D76AD" w14:paraId="39FC8044" w14:textId="77777777" w:rsidTr="008D1687">
        <w:trPr>
          <w:trHeight w:val="1035"/>
        </w:trPr>
        <w:tc>
          <w:tcPr>
            <w:tcW w:w="2117" w:type="dxa"/>
            <w:tcBorders>
              <w:top w:val="single" w:sz="8" w:space="0" w:color="auto"/>
              <w:left w:val="single" w:sz="8" w:space="0" w:color="auto"/>
              <w:bottom w:val="single" w:sz="8" w:space="0" w:color="auto"/>
              <w:right w:val="single" w:sz="8" w:space="0" w:color="auto"/>
            </w:tcBorders>
            <w:shd w:val="clear" w:color="000000" w:fill="92D050"/>
            <w:vAlign w:val="center"/>
            <w:hideMark/>
          </w:tcPr>
          <w:p w14:paraId="42F08EEE" w14:textId="77777777" w:rsidR="00E321CD" w:rsidRPr="005D76AD" w:rsidRDefault="00E321CD" w:rsidP="00987626">
            <w:pPr>
              <w:spacing w:after="0" w:line="240" w:lineRule="auto"/>
              <w:jc w:val="both"/>
              <w:rPr>
                <w:rFonts w:ascii="Times New Roman" w:eastAsia="Times New Roman" w:hAnsi="Times New Roman" w:cs="Times New Roman"/>
                <w:b/>
                <w:bCs/>
                <w:color w:val="000000"/>
                <w:sz w:val="20"/>
                <w:szCs w:val="20"/>
              </w:rPr>
            </w:pPr>
            <w:r w:rsidRPr="005D76AD">
              <w:rPr>
                <w:rFonts w:ascii="Times New Roman" w:eastAsia="Times New Roman" w:hAnsi="Times New Roman" w:cs="Times New Roman"/>
                <w:b/>
                <w:bCs/>
                <w:color w:val="000000"/>
                <w:sz w:val="20"/>
                <w:szCs w:val="20"/>
              </w:rPr>
              <w:t>As of 31 March</w:t>
            </w:r>
            <w:r w:rsidRPr="005D76AD">
              <w:rPr>
                <w:rFonts w:ascii="Times New Roman" w:eastAsia="Times New Roman" w:hAnsi="Times New Roman" w:cs="Times New Roman"/>
                <w:color w:val="000000"/>
                <w:sz w:val="20"/>
                <w:szCs w:val="20"/>
              </w:rPr>
              <w:t xml:space="preserve"> </w:t>
            </w:r>
            <w:r w:rsidRPr="005D76AD">
              <w:rPr>
                <w:rFonts w:ascii="Times New Roman" w:eastAsia="Times New Roman" w:hAnsi="Times New Roman" w:cs="Times New Roman"/>
                <w:b/>
                <w:bCs/>
                <w:color w:val="000000"/>
                <w:sz w:val="20"/>
                <w:szCs w:val="20"/>
              </w:rPr>
              <w:t>2022 (P’000)</w:t>
            </w:r>
          </w:p>
        </w:tc>
        <w:tc>
          <w:tcPr>
            <w:tcW w:w="1417" w:type="dxa"/>
            <w:tcBorders>
              <w:top w:val="single" w:sz="8" w:space="0" w:color="auto"/>
              <w:left w:val="nil"/>
              <w:bottom w:val="single" w:sz="8" w:space="0" w:color="auto"/>
              <w:right w:val="single" w:sz="8" w:space="0" w:color="auto"/>
            </w:tcBorders>
            <w:shd w:val="clear" w:color="000000" w:fill="92D050"/>
            <w:vAlign w:val="center"/>
            <w:hideMark/>
          </w:tcPr>
          <w:p w14:paraId="21A82983" w14:textId="77777777" w:rsidR="00E321CD" w:rsidRPr="005D76AD" w:rsidRDefault="00E321CD" w:rsidP="00987626">
            <w:pPr>
              <w:spacing w:after="0" w:line="240" w:lineRule="auto"/>
              <w:jc w:val="both"/>
              <w:rPr>
                <w:rFonts w:ascii="Times New Roman" w:eastAsia="Times New Roman" w:hAnsi="Times New Roman" w:cs="Times New Roman"/>
                <w:b/>
                <w:bCs/>
                <w:color w:val="000000"/>
                <w:sz w:val="20"/>
                <w:szCs w:val="20"/>
              </w:rPr>
            </w:pPr>
            <w:r w:rsidRPr="005D76AD">
              <w:rPr>
                <w:rFonts w:ascii="Times New Roman" w:eastAsia="Times New Roman" w:hAnsi="Times New Roman" w:cs="Times New Roman"/>
                <w:b/>
                <w:bCs/>
                <w:color w:val="000000"/>
                <w:sz w:val="20"/>
                <w:szCs w:val="20"/>
              </w:rPr>
              <w:t>Rated</w:t>
            </w:r>
          </w:p>
        </w:tc>
        <w:tc>
          <w:tcPr>
            <w:tcW w:w="1418" w:type="dxa"/>
            <w:tcBorders>
              <w:top w:val="single" w:sz="8" w:space="0" w:color="auto"/>
              <w:left w:val="nil"/>
              <w:bottom w:val="single" w:sz="8" w:space="0" w:color="auto"/>
              <w:right w:val="single" w:sz="8" w:space="0" w:color="auto"/>
            </w:tcBorders>
            <w:shd w:val="clear" w:color="000000" w:fill="92D050"/>
            <w:vAlign w:val="center"/>
            <w:hideMark/>
          </w:tcPr>
          <w:p w14:paraId="4B4D5364" w14:textId="77777777" w:rsidR="00E321CD" w:rsidRPr="005D76AD" w:rsidRDefault="00E321CD" w:rsidP="00987626">
            <w:pPr>
              <w:spacing w:after="0" w:line="240" w:lineRule="auto"/>
              <w:jc w:val="both"/>
              <w:rPr>
                <w:rFonts w:ascii="Times New Roman" w:eastAsia="Times New Roman" w:hAnsi="Times New Roman" w:cs="Times New Roman"/>
                <w:b/>
                <w:bCs/>
                <w:color w:val="000000"/>
                <w:sz w:val="20"/>
                <w:szCs w:val="20"/>
              </w:rPr>
            </w:pPr>
            <w:r w:rsidRPr="005D76AD">
              <w:rPr>
                <w:rFonts w:ascii="Times New Roman" w:eastAsia="Times New Roman" w:hAnsi="Times New Roman" w:cs="Times New Roman"/>
                <w:b/>
                <w:bCs/>
                <w:color w:val="000000"/>
                <w:sz w:val="20"/>
                <w:szCs w:val="20"/>
              </w:rPr>
              <w:t>Unrated</w:t>
            </w:r>
          </w:p>
        </w:tc>
        <w:tc>
          <w:tcPr>
            <w:tcW w:w="1417" w:type="dxa"/>
            <w:tcBorders>
              <w:top w:val="single" w:sz="8" w:space="0" w:color="auto"/>
              <w:left w:val="nil"/>
              <w:bottom w:val="single" w:sz="8" w:space="0" w:color="auto"/>
              <w:right w:val="single" w:sz="8" w:space="0" w:color="auto"/>
            </w:tcBorders>
            <w:shd w:val="clear" w:color="000000" w:fill="92D050"/>
            <w:vAlign w:val="center"/>
            <w:hideMark/>
          </w:tcPr>
          <w:p w14:paraId="70850422" w14:textId="77777777" w:rsidR="00E321CD" w:rsidRPr="005D76AD" w:rsidRDefault="00E321CD" w:rsidP="00987626">
            <w:pPr>
              <w:spacing w:after="0" w:line="240" w:lineRule="auto"/>
              <w:jc w:val="both"/>
              <w:rPr>
                <w:rFonts w:ascii="Times New Roman" w:eastAsia="Times New Roman" w:hAnsi="Times New Roman" w:cs="Times New Roman"/>
                <w:b/>
                <w:bCs/>
                <w:color w:val="000000"/>
                <w:sz w:val="20"/>
                <w:szCs w:val="20"/>
              </w:rPr>
            </w:pPr>
            <w:r w:rsidRPr="005D76AD">
              <w:rPr>
                <w:rFonts w:ascii="Times New Roman" w:eastAsia="Times New Roman" w:hAnsi="Times New Roman" w:cs="Times New Roman"/>
                <w:b/>
                <w:bCs/>
                <w:color w:val="000000"/>
                <w:sz w:val="20"/>
                <w:szCs w:val="20"/>
              </w:rPr>
              <w:t>Total</w:t>
            </w:r>
          </w:p>
        </w:tc>
      </w:tr>
      <w:tr w:rsidR="00E321CD" w:rsidRPr="005D76AD" w14:paraId="3F04572E" w14:textId="77777777" w:rsidTr="008D1687">
        <w:trPr>
          <w:trHeight w:val="195"/>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26D18A8B" w14:textId="77777777" w:rsidR="00E321CD" w:rsidRPr="005D76AD" w:rsidRDefault="00E321CD" w:rsidP="00987626">
            <w:pPr>
              <w:spacing w:after="0" w:line="240" w:lineRule="auto"/>
              <w:jc w:val="both"/>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Banks and Government</w:t>
            </w:r>
          </w:p>
        </w:tc>
        <w:tc>
          <w:tcPr>
            <w:tcW w:w="1417" w:type="dxa"/>
            <w:tcBorders>
              <w:top w:val="nil"/>
              <w:left w:val="nil"/>
              <w:bottom w:val="single" w:sz="8" w:space="0" w:color="auto"/>
              <w:right w:val="single" w:sz="8" w:space="0" w:color="auto"/>
            </w:tcBorders>
            <w:shd w:val="clear" w:color="auto" w:fill="auto"/>
            <w:vAlign w:val="center"/>
            <w:hideMark/>
          </w:tcPr>
          <w:p w14:paraId="4FBCC82B" w14:textId="57F3F330" w:rsidR="00E321CD" w:rsidRPr="005D76AD" w:rsidRDefault="00453A39" w:rsidP="0098762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418" w:type="dxa"/>
            <w:tcBorders>
              <w:top w:val="nil"/>
              <w:left w:val="nil"/>
              <w:bottom w:val="single" w:sz="8" w:space="0" w:color="auto"/>
              <w:right w:val="single" w:sz="8" w:space="0" w:color="auto"/>
            </w:tcBorders>
            <w:shd w:val="clear" w:color="auto" w:fill="auto"/>
            <w:vAlign w:val="center"/>
            <w:hideMark/>
          </w:tcPr>
          <w:p w14:paraId="1857F303" w14:textId="624B2FF2" w:rsidR="00E321CD" w:rsidRPr="005D76AD" w:rsidRDefault="00453A39" w:rsidP="0098762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417" w:type="dxa"/>
            <w:tcBorders>
              <w:top w:val="nil"/>
              <w:left w:val="nil"/>
              <w:bottom w:val="single" w:sz="8" w:space="0" w:color="auto"/>
              <w:right w:val="single" w:sz="8" w:space="0" w:color="auto"/>
            </w:tcBorders>
            <w:shd w:val="clear" w:color="auto" w:fill="auto"/>
            <w:vAlign w:val="center"/>
            <w:hideMark/>
          </w:tcPr>
          <w:p w14:paraId="01128852" w14:textId="0699E753" w:rsidR="00E321CD" w:rsidRPr="005D76AD" w:rsidRDefault="00453A39" w:rsidP="0098762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E321CD" w:rsidRPr="005D76AD" w14:paraId="54895171" w14:textId="77777777" w:rsidTr="008D1687">
        <w:trPr>
          <w:trHeight w:val="315"/>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24914BB1" w14:textId="77777777" w:rsidR="00E321CD" w:rsidRPr="005D76AD" w:rsidRDefault="00E321CD" w:rsidP="00987626">
            <w:pPr>
              <w:spacing w:after="0" w:line="240" w:lineRule="auto"/>
              <w:jc w:val="both"/>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Other</w:t>
            </w:r>
          </w:p>
        </w:tc>
        <w:tc>
          <w:tcPr>
            <w:tcW w:w="1417" w:type="dxa"/>
            <w:tcBorders>
              <w:top w:val="nil"/>
              <w:left w:val="nil"/>
              <w:bottom w:val="single" w:sz="8" w:space="0" w:color="auto"/>
              <w:right w:val="single" w:sz="8" w:space="0" w:color="auto"/>
            </w:tcBorders>
            <w:shd w:val="clear" w:color="auto" w:fill="auto"/>
            <w:vAlign w:val="center"/>
            <w:hideMark/>
          </w:tcPr>
          <w:p w14:paraId="75118B48"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65,000</w:t>
            </w:r>
          </w:p>
        </w:tc>
        <w:tc>
          <w:tcPr>
            <w:tcW w:w="1418" w:type="dxa"/>
            <w:tcBorders>
              <w:top w:val="nil"/>
              <w:left w:val="nil"/>
              <w:bottom w:val="single" w:sz="8" w:space="0" w:color="auto"/>
              <w:right w:val="single" w:sz="8" w:space="0" w:color="auto"/>
            </w:tcBorders>
            <w:shd w:val="clear" w:color="auto" w:fill="auto"/>
            <w:vAlign w:val="center"/>
            <w:hideMark/>
          </w:tcPr>
          <w:p w14:paraId="3D193C06"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3,053,057</w:t>
            </w:r>
          </w:p>
        </w:tc>
        <w:tc>
          <w:tcPr>
            <w:tcW w:w="1417" w:type="dxa"/>
            <w:tcBorders>
              <w:top w:val="nil"/>
              <w:left w:val="nil"/>
              <w:bottom w:val="single" w:sz="8" w:space="0" w:color="auto"/>
              <w:right w:val="single" w:sz="8" w:space="0" w:color="auto"/>
            </w:tcBorders>
            <w:shd w:val="clear" w:color="auto" w:fill="auto"/>
            <w:vAlign w:val="center"/>
            <w:hideMark/>
          </w:tcPr>
          <w:p w14:paraId="0C207731" w14:textId="77777777" w:rsidR="00E321CD" w:rsidRPr="005D76AD" w:rsidRDefault="00E321CD" w:rsidP="00987626">
            <w:pPr>
              <w:spacing w:after="0" w:line="240" w:lineRule="auto"/>
              <w:jc w:val="right"/>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3,118,057</w:t>
            </w:r>
          </w:p>
        </w:tc>
      </w:tr>
      <w:tr w:rsidR="00E321CD" w:rsidRPr="005D76AD" w14:paraId="5ED519CB" w14:textId="77777777" w:rsidTr="008D1687">
        <w:trPr>
          <w:trHeight w:val="183"/>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33063032" w14:textId="77777777" w:rsidR="00E321CD" w:rsidRPr="005D76AD" w:rsidRDefault="00E321CD" w:rsidP="00987626">
            <w:pPr>
              <w:spacing w:after="0" w:line="240" w:lineRule="auto"/>
              <w:jc w:val="both"/>
              <w:rPr>
                <w:rFonts w:ascii="Times New Roman" w:eastAsia="Times New Roman" w:hAnsi="Times New Roman" w:cs="Times New Roman"/>
                <w:color w:val="000000"/>
                <w:sz w:val="20"/>
                <w:szCs w:val="20"/>
              </w:rPr>
            </w:pPr>
            <w:r w:rsidRPr="005D76AD">
              <w:rPr>
                <w:rFonts w:ascii="Times New Roman" w:eastAsia="Times New Roman" w:hAnsi="Times New Roman" w:cs="Times New Roman"/>
                <w:color w:val="000000"/>
                <w:sz w:val="20"/>
                <w:szCs w:val="20"/>
              </w:rPr>
              <w:t>Total Gross Exposures</w:t>
            </w:r>
          </w:p>
        </w:tc>
        <w:tc>
          <w:tcPr>
            <w:tcW w:w="1417" w:type="dxa"/>
            <w:tcBorders>
              <w:top w:val="nil"/>
              <w:left w:val="nil"/>
              <w:bottom w:val="single" w:sz="8" w:space="0" w:color="auto"/>
              <w:right w:val="single" w:sz="8" w:space="0" w:color="auto"/>
            </w:tcBorders>
            <w:shd w:val="clear" w:color="auto" w:fill="auto"/>
            <w:vAlign w:val="center"/>
            <w:hideMark/>
          </w:tcPr>
          <w:p w14:paraId="0F73C755" w14:textId="77777777" w:rsidR="00E321CD" w:rsidRPr="005D76AD" w:rsidRDefault="00E321CD" w:rsidP="00987626">
            <w:pPr>
              <w:spacing w:after="0" w:line="240" w:lineRule="auto"/>
              <w:jc w:val="right"/>
              <w:rPr>
                <w:rFonts w:ascii="Times New Roman" w:eastAsia="Times New Roman" w:hAnsi="Times New Roman" w:cs="Times New Roman"/>
                <w:b/>
                <w:bCs/>
                <w:color w:val="000000"/>
                <w:sz w:val="20"/>
                <w:szCs w:val="20"/>
              </w:rPr>
            </w:pPr>
            <w:r w:rsidRPr="005D76AD">
              <w:rPr>
                <w:rFonts w:ascii="Times New Roman" w:eastAsia="Times New Roman" w:hAnsi="Times New Roman" w:cs="Times New Roman"/>
                <w:b/>
                <w:bCs/>
                <w:color w:val="000000"/>
                <w:sz w:val="20"/>
                <w:szCs w:val="20"/>
              </w:rPr>
              <w:t>65,000</w:t>
            </w:r>
          </w:p>
        </w:tc>
        <w:tc>
          <w:tcPr>
            <w:tcW w:w="1418" w:type="dxa"/>
            <w:tcBorders>
              <w:top w:val="nil"/>
              <w:left w:val="nil"/>
              <w:bottom w:val="single" w:sz="8" w:space="0" w:color="auto"/>
              <w:right w:val="single" w:sz="8" w:space="0" w:color="auto"/>
            </w:tcBorders>
            <w:shd w:val="clear" w:color="auto" w:fill="auto"/>
            <w:vAlign w:val="center"/>
            <w:hideMark/>
          </w:tcPr>
          <w:p w14:paraId="67B2C132" w14:textId="77777777" w:rsidR="00E321CD" w:rsidRPr="005D76AD" w:rsidRDefault="00E321CD" w:rsidP="00987626">
            <w:pPr>
              <w:spacing w:after="0" w:line="240" w:lineRule="auto"/>
              <w:jc w:val="right"/>
              <w:rPr>
                <w:rFonts w:ascii="Times New Roman" w:eastAsia="Times New Roman" w:hAnsi="Times New Roman" w:cs="Times New Roman"/>
                <w:b/>
                <w:bCs/>
                <w:color w:val="000000"/>
                <w:sz w:val="20"/>
                <w:szCs w:val="20"/>
              </w:rPr>
            </w:pPr>
            <w:r w:rsidRPr="005D76AD">
              <w:rPr>
                <w:rFonts w:ascii="Times New Roman" w:eastAsia="Times New Roman" w:hAnsi="Times New Roman" w:cs="Times New Roman"/>
                <w:b/>
                <w:bCs/>
                <w:color w:val="000000"/>
                <w:sz w:val="20"/>
                <w:szCs w:val="20"/>
              </w:rPr>
              <w:t>3,053,057</w:t>
            </w:r>
          </w:p>
        </w:tc>
        <w:tc>
          <w:tcPr>
            <w:tcW w:w="1417" w:type="dxa"/>
            <w:tcBorders>
              <w:top w:val="nil"/>
              <w:left w:val="nil"/>
              <w:bottom w:val="single" w:sz="8" w:space="0" w:color="auto"/>
              <w:right w:val="single" w:sz="8" w:space="0" w:color="auto"/>
            </w:tcBorders>
            <w:shd w:val="clear" w:color="auto" w:fill="auto"/>
            <w:vAlign w:val="center"/>
            <w:hideMark/>
          </w:tcPr>
          <w:p w14:paraId="4FAA99A4" w14:textId="77777777" w:rsidR="00E321CD" w:rsidRPr="005D76AD" w:rsidRDefault="00E321CD" w:rsidP="00987626">
            <w:pPr>
              <w:spacing w:after="0" w:line="240" w:lineRule="auto"/>
              <w:jc w:val="right"/>
              <w:rPr>
                <w:rFonts w:ascii="Times New Roman" w:eastAsia="Times New Roman" w:hAnsi="Times New Roman" w:cs="Times New Roman"/>
                <w:b/>
                <w:bCs/>
                <w:color w:val="000000"/>
                <w:sz w:val="20"/>
                <w:szCs w:val="20"/>
              </w:rPr>
            </w:pPr>
            <w:r w:rsidRPr="005D76AD">
              <w:rPr>
                <w:rFonts w:ascii="Times New Roman" w:eastAsia="Times New Roman" w:hAnsi="Times New Roman" w:cs="Times New Roman"/>
                <w:b/>
                <w:bCs/>
                <w:color w:val="000000"/>
                <w:sz w:val="20"/>
                <w:szCs w:val="20"/>
              </w:rPr>
              <w:t>3,118,057</w:t>
            </w:r>
          </w:p>
        </w:tc>
      </w:tr>
      <w:bookmarkEnd w:id="21"/>
    </w:tbl>
    <w:p w14:paraId="304B6C32" w14:textId="77777777" w:rsidR="00E321CD" w:rsidRPr="00EF143A" w:rsidRDefault="00E321CD" w:rsidP="00E321CD">
      <w:pPr>
        <w:jc w:val="both"/>
        <w:rPr>
          <w:rFonts w:ascii="Times New Roman" w:hAnsi="Times New Roman" w:cs="Times New Roman"/>
          <w:b/>
          <w:sz w:val="20"/>
          <w:szCs w:val="20"/>
        </w:rPr>
      </w:pPr>
      <w:r>
        <w:rPr>
          <w:rFonts w:ascii="Times New Roman" w:hAnsi="Times New Roman" w:cs="Times New Roman"/>
          <w:b/>
          <w:sz w:val="20"/>
          <w:szCs w:val="20"/>
        </w:rPr>
        <w:fldChar w:fldCharType="end"/>
      </w:r>
    </w:p>
    <w:p w14:paraId="58827FC5" w14:textId="77777777" w:rsidR="00E321CD" w:rsidRPr="00EF143A" w:rsidRDefault="00E321CD" w:rsidP="00E321CD">
      <w:pPr>
        <w:pStyle w:val="Heading2"/>
        <w:rPr>
          <w:rStyle w:val="A5"/>
          <w:rFonts w:ascii="Times New Roman" w:hAnsi="Times New Roman" w:cs="Times New Roman"/>
          <w:color w:val="auto"/>
          <w:sz w:val="20"/>
          <w:szCs w:val="20"/>
        </w:rPr>
      </w:pPr>
      <w:bookmarkStart w:id="22" w:name="_Toc100839098"/>
      <w:r w:rsidRPr="00EF143A">
        <w:rPr>
          <w:rStyle w:val="A5"/>
          <w:rFonts w:ascii="Times New Roman" w:hAnsi="Times New Roman" w:cs="Times New Roman"/>
          <w:color w:val="auto"/>
          <w:sz w:val="20"/>
          <w:szCs w:val="20"/>
        </w:rPr>
        <w:t>3.1 Credit Risk Mitigation</w:t>
      </w:r>
      <w:bookmarkEnd w:id="22"/>
    </w:p>
    <w:p w14:paraId="216C9EF5" w14:textId="77777777" w:rsidR="00E321CD" w:rsidRPr="00EF143A" w:rsidRDefault="00E321CD" w:rsidP="00E321CD">
      <w:pPr>
        <w:rPr>
          <w:rFonts w:ascii="Times New Roman" w:hAnsi="Times New Roman" w:cs="Times New Roman"/>
          <w:b/>
          <w:sz w:val="20"/>
          <w:szCs w:val="20"/>
        </w:rPr>
      </w:pPr>
    </w:p>
    <w:p w14:paraId="5F1AD02E" w14:textId="77777777" w:rsidR="00E321CD" w:rsidRPr="00EF143A" w:rsidRDefault="00E321CD" w:rsidP="00E321CD">
      <w:pPr>
        <w:rPr>
          <w:rFonts w:ascii="Times New Roman" w:hAnsi="Times New Roman" w:cs="Times New Roman"/>
          <w:b/>
          <w:sz w:val="20"/>
          <w:szCs w:val="20"/>
        </w:rPr>
      </w:pPr>
      <w:r w:rsidRPr="00EF143A">
        <w:rPr>
          <w:rFonts w:ascii="Times New Roman" w:hAnsi="Times New Roman" w:cs="Times New Roman"/>
          <w:b/>
          <w:sz w:val="20"/>
          <w:szCs w:val="20"/>
        </w:rPr>
        <w:t>Table 32: The General Qualitative disclosure requirement with respect to credit risk mitigation</w:t>
      </w:r>
    </w:p>
    <w:p w14:paraId="22B150E0" w14:textId="77F7016F" w:rsidR="00E321CD" w:rsidRPr="00EF143A" w:rsidRDefault="00E321CD" w:rsidP="00E321CD">
      <w:pPr>
        <w:jc w:val="both"/>
        <w:rPr>
          <w:rFonts w:ascii="Times New Roman" w:hAnsi="Times New Roman" w:cs="Times New Roman"/>
          <w:sz w:val="20"/>
          <w:szCs w:val="20"/>
        </w:rPr>
      </w:pPr>
      <w:r w:rsidRPr="00EF143A">
        <w:rPr>
          <w:rFonts w:ascii="Times New Roman" w:hAnsi="Times New Roman" w:cs="Times New Roman"/>
          <w:sz w:val="20"/>
          <w:szCs w:val="20"/>
        </w:rPr>
        <w:t xml:space="preserve">The Board of Directors of the </w:t>
      </w:r>
      <w:r w:rsidR="0007017A">
        <w:rPr>
          <w:rFonts w:ascii="Times New Roman" w:hAnsi="Times New Roman" w:cs="Times New Roman"/>
          <w:sz w:val="20"/>
          <w:szCs w:val="20"/>
        </w:rPr>
        <w:t>b</w:t>
      </w:r>
      <w:r w:rsidRPr="00EF143A">
        <w:rPr>
          <w:rFonts w:ascii="Times New Roman" w:hAnsi="Times New Roman" w:cs="Times New Roman"/>
          <w:sz w:val="20"/>
          <w:szCs w:val="20"/>
        </w:rPr>
        <w:t>ank have delegated responsibility for the management of credit risk to their Credit Committee. A separate credit department reporting to the Credit Committee is responsible for oversight of the credit risk including: -</w:t>
      </w:r>
    </w:p>
    <w:p w14:paraId="077864E4" w14:textId="77777777" w:rsidR="00E321CD" w:rsidRPr="00EF143A" w:rsidRDefault="00E321CD" w:rsidP="00E321CD">
      <w:pPr>
        <w:numPr>
          <w:ilvl w:val="0"/>
          <w:numId w:val="2"/>
        </w:numPr>
        <w:tabs>
          <w:tab w:val="clear" w:pos="340"/>
          <w:tab w:val="num" w:pos="1060"/>
        </w:tabs>
        <w:ind w:left="1060"/>
        <w:jc w:val="both"/>
        <w:rPr>
          <w:rFonts w:ascii="Times New Roman" w:hAnsi="Times New Roman" w:cs="Times New Roman"/>
          <w:sz w:val="20"/>
          <w:szCs w:val="20"/>
        </w:rPr>
      </w:pPr>
      <w:r w:rsidRPr="00EF143A">
        <w:rPr>
          <w:rFonts w:ascii="Times New Roman" w:hAnsi="Times New Roman" w:cs="Times New Roman"/>
          <w:i/>
          <w:sz w:val="20"/>
          <w:szCs w:val="20"/>
        </w:rPr>
        <w:t>Formulating credit policies</w:t>
      </w:r>
      <w:r w:rsidRPr="00EF143A">
        <w:rPr>
          <w:rFonts w:ascii="Times New Roman" w:hAnsi="Times New Roman" w:cs="Times New Roman"/>
          <w:sz w:val="20"/>
          <w:szCs w:val="20"/>
        </w:rPr>
        <w:t xml:space="preserve"> covering collateral requirements credit assessment risk grading and reporting documentary and legal procedures and compliance with regulatory and statutory requirements.</w:t>
      </w:r>
    </w:p>
    <w:p w14:paraId="30C32531" w14:textId="77777777" w:rsidR="00E321CD" w:rsidRPr="00EF143A" w:rsidRDefault="00E321CD" w:rsidP="00E321CD">
      <w:pPr>
        <w:numPr>
          <w:ilvl w:val="0"/>
          <w:numId w:val="2"/>
        </w:numPr>
        <w:tabs>
          <w:tab w:val="clear" w:pos="340"/>
          <w:tab w:val="num" w:pos="1060"/>
        </w:tabs>
        <w:ind w:left="1060"/>
        <w:jc w:val="both"/>
        <w:rPr>
          <w:rFonts w:ascii="Times New Roman" w:hAnsi="Times New Roman" w:cs="Times New Roman"/>
          <w:sz w:val="20"/>
          <w:szCs w:val="20"/>
        </w:rPr>
      </w:pPr>
      <w:r w:rsidRPr="00EF143A">
        <w:rPr>
          <w:rFonts w:ascii="Times New Roman" w:hAnsi="Times New Roman" w:cs="Times New Roman"/>
          <w:i/>
          <w:sz w:val="20"/>
          <w:szCs w:val="20"/>
        </w:rPr>
        <w:t>Establishing the authorisation structure</w:t>
      </w:r>
      <w:r w:rsidRPr="00EF143A">
        <w:rPr>
          <w:rFonts w:ascii="Times New Roman" w:hAnsi="Times New Roman" w:cs="Times New Roman"/>
          <w:sz w:val="20"/>
          <w:szCs w:val="20"/>
        </w:rPr>
        <w:t xml:space="preserve"> for the approval and renewal of credit facilities. Authorisation limits are allocated to Head of Credit Chief Executive Officers. Larger facilities require approval by the Local Credit Committee and the Board Credit Committee as appropriate.</w:t>
      </w:r>
    </w:p>
    <w:p w14:paraId="4976A2A4" w14:textId="77777777" w:rsidR="00E321CD" w:rsidRPr="00EF143A" w:rsidRDefault="00E321CD" w:rsidP="00E321CD">
      <w:pPr>
        <w:numPr>
          <w:ilvl w:val="0"/>
          <w:numId w:val="2"/>
        </w:numPr>
        <w:tabs>
          <w:tab w:val="clear" w:pos="340"/>
          <w:tab w:val="num" w:pos="1060"/>
        </w:tabs>
        <w:ind w:left="1060" w:right="-254"/>
        <w:jc w:val="both"/>
        <w:rPr>
          <w:rFonts w:ascii="Times New Roman" w:hAnsi="Times New Roman" w:cs="Times New Roman"/>
          <w:sz w:val="20"/>
          <w:szCs w:val="20"/>
        </w:rPr>
      </w:pPr>
      <w:r w:rsidRPr="00EF143A">
        <w:rPr>
          <w:rFonts w:ascii="Times New Roman" w:hAnsi="Times New Roman" w:cs="Times New Roman"/>
          <w:i/>
          <w:sz w:val="20"/>
          <w:szCs w:val="20"/>
        </w:rPr>
        <w:t>Reviewing and assessing credit risk.</w:t>
      </w:r>
      <w:r w:rsidRPr="00EF143A">
        <w:rPr>
          <w:rFonts w:ascii="Times New Roman" w:hAnsi="Times New Roman" w:cs="Times New Roman"/>
          <w:sz w:val="20"/>
          <w:szCs w:val="20"/>
        </w:rPr>
        <w:t xml:space="preserve"> The Credit Department assesses all credit exposures prior to facilities being committed to customers by Relationship Managers concerned. Renewals and reviews of facilities are subject to the same review process.</w:t>
      </w:r>
    </w:p>
    <w:p w14:paraId="674A3F3F" w14:textId="77777777" w:rsidR="00E321CD" w:rsidRPr="00EF143A" w:rsidRDefault="00E321CD" w:rsidP="00E321CD">
      <w:pPr>
        <w:numPr>
          <w:ilvl w:val="0"/>
          <w:numId w:val="2"/>
        </w:numPr>
        <w:tabs>
          <w:tab w:val="clear" w:pos="340"/>
          <w:tab w:val="num" w:pos="1060"/>
        </w:tabs>
        <w:spacing w:before="60"/>
        <w:ind w:left="1066" w:right="-254" w:hanging="346"/>
        <w:jc w:val="both"/>
        <w:rPr>
          <w:rFonts w:ascii="Times New Roman" w:hAnsi="Times New Roman" w:cs="Times New Roman"/>
          <w:sz w:val="20"/>
          <w:szCs w:val="20"/>
        </w:rPr>
      </w:pPr>
      <w:r w:rsidRPr="00EF143A">
        <w:rPr>
          <w:rFonts w:ascii="Times New Roman" w:hAnsi="Times New Roman" w:cs="Times New Roman"/>
          <w:i/>
          <w:sz w:val="20"/>
          <w:szCs w:val="20"/>
        </w:rPr>
        <w:t>Limiting concentrations of exposure</w:t>
      </w:r>
      <w:r w:rsidRPr="00EF143A">
        <w:rPr>
          <w:rFonts w:ascii="Times New Roman" w:hAnsi="Times New Roman" w:cs="Times New Roman"/>
          <w:sz w:val="20"/>
          <w:szCs w:val="20"/>
        </w:rPr>
        <w:t xml:space="preserve"> to counterparties geographies and industries (for loans and advances) and by issuer credit rating band market liquidity and country (for investment securities).</w:t>
      </w:r>
    </w:p>
    <w:p w14:paraId="266953A4" w14:textId="77777777" w:rsidR="00E321CD" w:rsidRPr="00EF143A" w:rsidRDefault="00E321CD" w:rsidP="00E321CD">
      <w:pPr>
        <w:numPr>
          <w:ilvl w:val="0"/>
          <w:numId w:val="2"/>
        </w:numPr>
        <w:tabs>
          <w:tab w:val="clear" w:pos="340"/>
          <w:tab w:val="num" w:pos="1060"/>
        </w:tabs>
        <w:spacing w:before="60"/>
        <w:ind w:left="1066" w:right="-254" w:hanging="346"/>
        <w:jc w:val="both"/>
        <w:rPr>
          <w:rFonts w:ascii="Times New Roman" w:hAnsi="Times New Roman" w:cs="Times New Roman"/>
          <w:sz w:val="20"/>
          <w:szCs w:val="20"/>
        </w:rPr>
      </w:pPr>
      <w:r w:rsidRPr="00EF143A">
        <w:rPr>
          <w:rFonts w:ascii="Times New Roman" w:hAnsi="Times New Roman" w:cs="Times New Roman"/>
          <w:i/>
          <w:sz w:val="20"/>
          <w:szCs w:val="20"/>
        </w:rPr>
        <w:lastRenderedPageBreak/>
        <w:t xml:space="preserve">Reviewing compliance </w:t>
      </w:r>
      <w:r w:rsidRPr="00EF143A">
        <w:rPr>
          <w:rFonts w:ascii="Times New Roman" w:hAnsi="Times New Roman" w:cs="Times New Roman"/>
          <w:sz w:val="20"/>
          <w:szCs w:val="20"/>
        </w:rPr>
        <w:t>of business units with agreed exposure limits.</w:t>
      </w:r>
    </w:p>
    <w:p w14:paraId="31BA88CE" w14:textId="77777777" w:rsidR="00E321CD" w:rsidRPr="00EF143A" w:rsidRDefault="00E321CD" w:rsidP="00E321CD">
      <w:pPr>
        <w:jc w:val="both"/>
        <w:rPr>
          <w:rFonts w:ascii="Times New Roman" w:hAnsi="Times New Roman" w:cs="Times New Roman"/>
          <w:b/>
          <w:sz w:val="20"/>
          <w:szCs w:val="20"/>
        </w:rPr>
      </w:pPr>
      <w:r w:rsidRPr="00EF143A">
        <w:rPr>
          <w:rFonts w:ascii="Times New Roman" w:hAnsi="Times New Roman" w:cs="Times New Roman"/>
          <w:b/>
          <w:sz w:val="20"/>
          <w:szCs w:val="20"/>
        </w:rPr>
        <w:t xml:space="preserve">Types of Collateral </w:t>
      </w:r>
    </w:p>
    <w:p w14:paraId="5C1F1296" w14:textId="7794045C" w:rsidR="00E321CD" w:rsidRPr="00EF143A" w:rsidRDefault="00E321CD" w:rsidP="00E321CD">
      <w:pPr>
        <w:pStyle w:val="NormalFMB"/>
        <w:spacing w:line="276" w:lineRule="auto"/>
        <w:rPr>
          <w:rFonts w:ascii="Times New Roman" w:hAnsi="Times New Roman" w:cs="Times New Roman"/>
          <w:sz w:val="20"/>
          <w:szCs w:val="20"/>
          <w:lang w:val="en-GB"/>
        </w:rPr>
      </w:pPr>
      <w:r w:rsidRPr="00EF143A">
        <w:rPr>
          <w:rFonts w:ascii="Times New Roman" w:hAnsi="Times New Roman" w:cs="Times New Roman"/>
          <w:sz w:val="20"/>
          <w:szCs w:val="20"/>
          <w:lang w:val="en-GB"/>
        </w:rPr>
        <w:t xml:space="preserve">The primary consideration in the assessment of any lending opportunity should be the borrower’s financial position and ability to repay from own resources and cash flow credit mitigation instruments are used where appropriate to reduce the </w:t>
      </w:r>
      <w:r w:rsidR="004E6349">
        <w:rPr>
          <w:rFonts w:ascii="Times New Roman" w:hAnsi="Times New Roman" w:cs="Times New Roman"/>
          <w:sz w:val="20"/>
          <w:szCs w:val="20"/>
          <w:lang w:val="en-GB"/>
        </w:rPr>
        <w:t>b</w:t>
      </w:r>
      <w:r w:rsidRPr="00EF143A">
        <w:rPr>
          <w:rFonts w:ascii="Times New Roman" w:hAnsi="Times New Roman" w:cs="Times New Roman"/>
          <w:sz w:val="20"/>
          <w:szCs w:val="20"/>
          <w:lang w:val="en-GB"/>
        </w:rPr>
        <w:t>ank’s lending risk resulting in security against the majority of exposures.  These include financial or other collateral netting or set-off agreements guarantees or cash collateral.  The collateral types are driven by portfolio product or counterparty type:</w:t>
      </w:r>
    </w:p>
    <w:p w14:paraId="2F18F6D6" w14:textId="77777777" w:rsidR="00E321CD" w:rsidRPr="00EF143A" w:rsidRDefault="00E321CD" w:rsidP="00E321CD">
      <w:pPr>
        <w:pStyle w:val="Bullets"/>
        <w:spacing w:line="276" w:lineRule="auto"/>
        <w:rPr>
          <w:rFonts w:ascii="Times New Roman" w:hAnsi="Times New Roman" w:cs="Times New Roman"/>
          <w:sz w:val="20"/>
          <w:szCs w:val="20"/>
          <w:lang w:val="en-GB"/>
        </w:rPr>
      </w:pPr>
      <w:r w:rsidRPr="00EF143A">
        <w:rPr>
          <w:rFonts w:ascii="Times New Roman" w:hAnsi="Times New Roman" w:cs="Times New Roman"/>
          <w:sz w:val="20"/>
          <w:szCs w:val="20"/>
          <w:lang w:val="en-GB"/>
        </w:rPr>
        <w:t>The underlying assets financed secure mortgage and instalment sale finance portfolios.</w:t>
      </w:r>
    </w:p>
    <w:p w14:paraId="6BC22A42" w14:textId="77777777" w:rsidR="00E321CD" w:rsidRPr="00EF143A" w:rsidRDefault="00E321CD" w:rsidP="00E321CD">
      <w:pPr>
        <w:pStyle w:val="Bullets"/>
        <w:spacing w:line="276" w:lineRule="auto"/>
        <w:rPr>
          <w:rFonts w:ascii="Times New Roman" w:hAnsi="Times New Roman" w:cs="Times New Roman"/>
          <w:sz w:val="20"/>
          <w:szCs w:val="20"/>
          <w:lang w:val="en-GB"/>
        </w:rPr>
      </w:pPr>
      <w:r w:rsidRPr="00EF143A">
        <w:rPr>
          <w:rFonts w:ascii="Times New Roman" w:hAnsi="Times New Roman" w:cs="Times New Roman"/>
          <w:sz w:val="20"/>
          <w:szCs w:val="20"/>
          <w:lang w:val="en-GB"/>
        </w:rPr>
        <w:t>Personal loans and overdrafts exposures are generally unsecured or secured via guarantees and sureties as well as by salary deduction.</w:t>
      </w:r>
    </w:p>
    <w:p w14:paraId="12DC20DD" w14:textId="77777777" w:rsidR="00E321CD" w:rsidRPr="00EF143A" w:rsidRDefault="00E321CD" w:rsidP="00E321CD">
      <w:pPr>
        <w:pStyle w:val="Bullets"/>
        <w:spacing w:line="276" w:lineRule="auto"/>
        <w:rPr>
          <w:rFonts w:ascii="Times New Roman" w:hAnsi="Times New Roman" w:cs="Times New Roman"/>
          <w:sz w:val="20"/>
          <w:szCs w:val="20"/>
          <w:lang w:val="en-GB"/>
        </w:rPr>
      </w:pPr>
      <w:r w:rsidRPr="00EF143A">
        <w:rPr>
          <w:rFonts w:ascii="Times New Roman" w:hAnsi="Times New Roman" w:cs="Times New Roman"/>
          <w:sz w:val="20"/>
          <w:szCs w:val="20"/>
          <w:lang w:val="en-GB"/>
        </w:rPr>
        <w:t>Commercial and Corporate credit facilities are mostly secured by the assets of the counterparties and cash flow of the projects.</w:t>
      </w:r>
    </w:p>
    <w:p w14:paraId="21E56D91" w14:textId="77777777" w:rsidR="00E321CD" w:rsidRPr="00EF143A" w:rsidRDefault="00E321CD" w:rsidP="00E321CD">
      <w:pPr>
        <w:pStyle w:val="Bullets"/>
        <w:numPr>
          <w:ilvl w:val="0"/>
          <w:numId w:val="0"/>
        </w:numPr>
        <w:spacing w:line="276" w:lineRule="auto"/>
        <w:rPr>
          <w:rFonts w:ascii="Times New Roman" w:hAnsi="Times New Roman" w:cs="Times New Roman"/>
          <w:b/>
          <w:bCs/>
          <w:sz w:val="20"/>
          <w:szCs w:val="20"/>
          <w:lang w:val="en-GB"/>
        </w:rPr>
      </w:pPr>
      <w:r w:rsidRPr="00EF143A">
        <w:rPr>
          <w:rFonts w:ascii="Times New Roman" w:hAnsi="Times New Roman" w:cs="Times New Roman"/>
          <w:b/>
          <w:bCs/>
          <w:sz w:val="20"/>
          <w:szCs w:val="20"/>
          <w:lang w:val="en-GB"/>
        </w:rPr>
        <w:t>Concentration Risk</w:t>
      </w:r>
    </w:p>
    <w:p w14:paraId="79A91EC0" w14:textId="7E92825D" w:rsidR="00E321CD" w:rsidRPr="00EF143A" w:rsidRDefault="00E321CD" w:rsidP="00E321CD">
      <w:pPr>
        <w:spacing w:before="240" w:after="120"/>
        <w:jc w:val="both"/>
        <w:rPr>
          <w:rFonts w:ascii="Times New Roman" w:hAnsi="Times New Roman" w:cs="Times New Roman"/>
          <w:sz w:val="20"/>
          <w:szCs w:val="20"/>
          <w:lang w:val="en-GB"/>
        </w:rPr>
      </w:pPr>
      <w:r w:rsidRPr="00EF143A">
        <w:rPr>
          <w:rFonts w:ascii="Times New Roman" w:hAnsi="Times New Roman" w:cs="Times New Roman"/>
          <w:b/>
          <w:bCs/>
          <w:sz w:val="20"/>
          <w:szCs w:val="20"/>
          <w:lang w:val="en-GB"/>
        </w:rPr>
        <w:t>Concentration risk</w:t>
      </w:r>
      <w:r w:rsidRPr="00EF143A">
        <w:rPr>
          <w:rFonts w:ascii="Times New Roman" w:hAnsi="Times New Roman" w:cs="Times New Roman"/>
          <w:bCs/>
          <w:sz w:val="20"/>
          <w:szCs w:val="20"/>
          <w:lang w:val="en-GB"/>
        </w:rPr>
        <w:t xml:space="preserve"> </w:t>
      </w:r>
      <w:r w:rsidRPr="00EF143A">
        <w:rPr>
          <w:rFonts w:ascii="Times New Roman" w:hAnsi="Times New Roman" w:cs="Times New Roman"/>
          <w:sz w:val="20"/>
          <w:szCs w:val="20"/>
          <w:lang w:val="en-GB"/>
        </w:rPr>
        <w:t>means that the portfolio has individual or small groups of exposures which are large in relation to the rest of the portfolio or in relation to the capital of the Bank and the default or loss of which would have a detrimental effect on the performance of the entire portfolio. The portfolio could for example be concentrated in a few borrowers or the portfolio could be concentrated in one or more industries or sectors or the portfolio could be concentrated in a customer segment or the portfolio could be concentrated in new or existing borrowers.</w:t>
      </w:r>
      <w:r w:rsidRPr="00EF143A">
        <w:rPr>
          <w:rFonts w:ascii="Times New Roman" w:hAnsi="Times New Roman" w:cs="Times New Roman"/>
          <w:bCs/>
          <w:sz w:val="20"/>
          <w:szCs w:val="20"/>
          <w:lang w:val="en-GB"/>
        </w:rPr>
        <w:t xml:space="preserve"> </w:t>
      </w:r>
      <w:r w:rsidRPr="00EF143A">
        <w:rPr>
          <w:rFonts w:ascii="Times New Roman" w:hAnsi="Times New Roman" w:cs="Times New Roman"/>
          <w:b/>
          <w:bCs/>
          <w:sz w:val="20"/>
          <w:szCs w:val="20"/>
          <w:lang w:val="en-GB"/>
        </w:rPr>
        <w:t>Credit concentration</w:t>
      </w:r>
      <w:r w:rsidRPr="00EF143A">
        <w:rPr>
          <w:rFonts w:ascii="Times New Roman" w:hAnsi="Times New Roman" w:cs="Times New Roman"/>
          <w:sz w:val="20"/>
          <w:szCs w:val="20"/>
          <w:lang w:val="en-GB"/>
        </w:rPr>
        <w:t xml:space="preserve"> means a limit or exposure to a single customer or group of customers</w:t>
      </w:r>
      <w:r w:rsidR="00EE581D">
        <w:rPr>
          <w:rFonts w:ascii="Times New Roman" w:hAnsi="Times New Roman" w:cs="Times New Roman"/>
          <w:sz w:val="20"/>
          <w:szCs w:val="20"/>
          <w:lang w:val="en-GB"/>
        </w:rPr>
        <w:t>.</w:t>
      </w:r>
    </w:p>
    <w:p w14:paraId="680DAC1A" w14:textId="0EE96792" w:rsidR="00E321CD" w:rsidRPr="00EF143A" w:rsidRDefault="00E321CD" w:rsidP="00E321CD">
      <w:pPr>
        <w:pStyle w:val="Bullets"/>
        <w:spacing w:before="240" w:line="276" w:lineRule="auto"/>
        <w:ind w:left="567" w:hanging="567"/>
        <w:rPr>
          <w:rFonts w:ascii="Times New Roman" w:hAnsi="Times New Roman" w:cs="Times New Roman"/>
          <w:sz w:val="20"/>
          <w:szCs w:val="20"/>
          <w:lang w:val="en-GB"/>
        </w:rPr>
      </w:pPr>
      <w:r w:rsidRPr="00EF143A">
        <w:rPr>
          <w:rFonts w:ascii="Times New Roman" w:hAnsi="Times New Roman" w:cs="Times New Roman"/>
          <w:sz w:val="20"/>
          <w:szCs w:val="20"/>
          <w:lang w:val="en-GB"/>
        </w:rPr>
        <w:t xml:space="preserve">Concentration Risk is managed in the credit portfolios in accordance with the policy and directives of Bank of Botswana. Besides the Board shall approve credit risk strategy spelling out the </w:t>
      </w:r>
      <w:r w:rsidR="00EE581D">
        <w:rPr>
          <w:rFonts w:ascii="Times New Roman" w:hAnsi="Times New Roman" w:cs="Times New Roman"/>
          <w:sz w:val="20"/>
          <w:szCs w:val="20"/>
          <w:lang w:val="en-GB"/>
        </w:rPr>
        <w:t>b</w:t>
      </w:r>
      <w:r w:rsidRPr="00EF143A">
        <w:rPr>
          <w:rFonts w:ascii="Times New Roman" w:hAnsi="Times New Roman" w:cs="Times New Roman"/>
          <w:sz w:val="20"/>
          <w:szCs w:val="20"/>
          <w:lang w:val="en-GB"/>
        </w:rPr>
        <w:t xml:space="preserve">ank’s plan to grant credit based on various customer segments and products economic sector’s geographical location currency and maturity. The target market within each lending segment preferred level of diversification and/or concentration should be defined. Each portfolio must be measured and reported to the </w:t>
      </w:r>
      <w:r w:rsidR="003C5E5D">
        <w:rPr>
          <w:rFonts w:ascii="Times New Roman" w:hAnsi="Times New Roman" w:cs="Times New Roman"/>
          <w:sz w:val="20"/>
          <w:szCs w:val="20"/>
          <w:lang w:val="en-GB"/>
        </w:rPr>
        <w:t>B</w:t>
      </w:r>
      <w:r w:rsidRPr="00EF143A">
        <w:rPr>
          <w:rFonts w:ascii="Times New Roman" w:hAnsi="Times New Roman" w:cs="Times New Roman"/>
          <w:sz w:val="20"/>
          <w:szCs w:val="20"/>
          <w:lang w:val="en-GB"/>
        </w:rPr>
        <w:t>oard credit committee every quarter.</w:t>
      </w:r>
    </w:p>
    <w:p w14:paraId="6F904120" w14:textId="7AC99C08" w:rsidR="00E321CD" w:rsidRPr="00EF143A" w:rsidRDefault="00E321CD" w:rsidP="00E321CD">
      <w:pPr>
        <w:pStyle w:val="Bullets"/>
        <w:numPr>
          <w:ilvl w:val="0"/>
          <w:numId w:val="0"/>
        </w:numPr>
        <w:spacing w:before="240" w:line="276" w:lineRule="auto"/>
        <w:ind w:left="567"/>
        <w:rPr>
          <w:rFonts w:ascii="Times New Roman" w:hAnsi="Times New Roman" w:cs="Times New Roman"/>
          <w:sz w:val="20"/>
          <w:szCs w:val="20"/>
          <w:lang w:val="en-GB"/>
        </w:rPr>
      </w:pPr>
      <w:r w:rsidRPr="00EF143A">
        <w:rPr>
          <w:rFonts w:ascii="Times New Roman" w:hAnsi="Times New Roman" w:cs="Times New Roman"/>
          <w:sz w:val="20"/>
          <w:szCs w:val="20"/>
          <w:lang w:val="en-GB"/>
        </w:rPr>
        <w:t>Such Concentrations include</w:t>
      </w:r>
      <w:r w:rsidR="003C5E5D">
        <w:rPr>
          <w:rFonts w:ascii="Times New Roman" w:hAnsi="Times New Roman" w:cs="Times New Roman"/>
          <w:sz w:val="20"/>
          <w:szCs w:val="20"/>
          <w:lang w:val="en-GB"/>
        </w:rPr>
        <w:t>:</w:t>
      </w:r>
    </w:p>
    <w:p w14:paraId="0C1F671C" w14:textId="77777777" w:rsidR="00E321CD" w:rsidRPr="00EF143A" w:rsidRDefault="00E321CD" w:rsidP="00E321CD">
      <w:pPr>
        <w:pStyle w:val="Bullets"/>
        <w:spacing w:line="276" w:lineRule="auto"/>
        <w:rPr>
          <w:rFonts w:ascii="Times New Roman" w:hAnsi="Times New Roman" w:cs="Times New Roman"/>
          <w:sz w:val="20"/>
          <w:szCs w:val="20"/>
          <w:lang w:val="en-GB"/>
        </w:rPr>
      </w:pPr>
      <w:r w:rsidRPr="00EF143A">
        <w:rPr>
          <w:rFonts w:ascii="Times New Roman" w:hAnsi="Times New Roman" w:cs="Times New Roman"/>
          <w:sz w:val="20"/>
          <w:szCs w:val="20"/>
          <w:lang w:val="en-GB"/>
        </w:rPr>
        <w:t>Significant exposure to an Individual counterparty or a group of related counterparties as prescribed by BOB</w:t>
      </w:r>
    </w:p>
    <w:p w14:paraId="2BC341AA" w14:textId="77777777" w:rsidR="00E321CD" w:rsidRPr="00EF143A" w:rsidRDefault="00E321CD" w:rsidP="00E321CD">
      <w:pPr>
        <w:pStyle w:val="Bullets"/>
        <w:spacing w:line="276" w:lineRule="auto"/>
        <w:rPr>
          <w:rFonts w:ascii="Times New Roman" w:hAnsi="Times New Roman" w:cs="Times New Roman"/>
          <w:sz w:val="20"/>
          <w:szCs w:val="20"/>
          <w:lang w:val="en-GB"/>
        </w:rPr>
      </w:pPr>
      <w:r w:rsidRPr="00EF143A">
        <w:rPr>
          <w:rFonts w:ascii="Times New Roman" w:hAnsi="Times New Roman" w:cs="Times New Roman"/>
          <w:sz w:val="20"/>
          <w:szCs w:val="20"/>
          <w:lang w:val="en-GB"/>
        </w:rPr>
        <w:t>Credit Exposure to counterparties in the same economic sector</w:t>
      </w:r>
    </w:p>
    <w:p w14:paraId="7CBADBD7" w14:textId="77777777" w:rsidR="00E321CD" w:rsidRPr="00EF143A" w:rsidRDefault="00E321CD" w:rsidP="00E321CD">
      <w:pPr>
        <w:rPr>
          <w:rFonts w:ascii="Times New Roman" w:hAnsi="Times New Roman" w:cs="Times New Roman"/>
          <w:sz w:val="20"/>
          <w:szCs w:val="20"/>
        </w:rPr>
      </w:pPr>
      <w:r w:rsidRPr="00EF143A">
        <w:rPr>
          <w:rFonts w:ascii="Times New Roman" w:hAnsi="Times New Roman" w:cs="Times New Roman"/>
          <w:sz w:val="20"/>
          <w:szCs w:val="20"/>
        </w:rPr>
        <w:t>Table 33: General disclosures related to counter party credit risk</w:t>
      </w:r>
    </w:p>
    <w:p w14:paraId="2790B314" w14:textId="77777777" w:rsidR="00E321CD" w:rsidRPr="00EF143A" w:rsidRDefault="00E321CD" w:rsidP="00E321CD">
      <w:pPr>
        <w:pStyle w:val="ListParagraph"/>
        <w:numPr>
          <w:ilvl w:val="0"/>
          <w:numId w:val="9"/>
        </w:numPr>
        <w:jc w:val="both"/>
        <w:rPr>
          <w:rFonts w:ascii="Times New Roman" w:hAnsi="Times New Roman" w:cs="Times New Roman"/>
          <w:b/>
          <w:sz w:val="20"/>
          <w:szCs w:val="20"/>
        </w:rPr>
      </w:pPr>
      <w:r w:rsidRPr="00EF143A">
        <w:rPr>
          <w:rFonts w:ascii="Times New Roman" w:hAnsi="Times New Roman" w:cs="Times New Roman"/>
          <w:b/>
          <w:sz w:val="20"/>
          <w:szCs w:val="20"/>
        </w:rPr>
        <w:t>Qualitative Disclosures</w:t>
      </w:r>
    </w:p>
    <w:p w14:paraId="7532D65C" w14:textId="77777777" w:rsidR="00E321CD" w:rsidRPr="00EF143A" w:rsidRDefault="00E321CD" w:rsidP="00E321CD">
      <w:pPr>
        <w:jc w:val="both"/>
        <w:rPr>
          <w:rFonts w:ascii="Times New Roman" w:hAnsi="Times New Roman" w:cs="Times New Roman"/>
          <w:sz w:val="20"/>
          <w:szCs w:val="20"/>
        </w:rPr>
      </w:pPr>
      <w:r w:rsidRPr="00EF143A">
        <w:rPr>
          <w:rFonts w:ascii="Times New Roman" w:hAnsi="Times New Roman" w:cs="Times New Roman"/>
          <w:sz w:val="20"/>
          <w:szCs w:val="20"/>
        </w:rPr>
        <w:t>Counterparty Credit risk is the risk that a counterparty fails to meet its contractual obligations. The risk that counterparties might default on their obligations is monitored on an on-going basis. In monitoring credit risk exposure consideration is given to trading instruments with a positive fair value and the volatility of the fair value of trading instruments.</w:t>
      </w:r>
    </w:p>
    <w:p w14:paraId="3A568E4B" w14:textId="77777777" w:rsidR="00E321CD" w:rsidRPr="00EF143A" w:rsidRDefault="00E321CD" w:rsidP="00E321CD">
      <w:pPr>
        <w:jc w:val="both"/>
        <w:rPr>
          <w:rFonts w:ascii="Times New Roman" w:hAnsi="Times New Roman" w:cs="Times New Roman"/>
          <w:sz w:val="20"/>
          <w:szCs w:val="20"/>
        </w:rPr>
      </w:pPr>
      <w:r w:rsidRPr="00EF143A">
        <w:rPr>
          <w:rFonts w:ascii="Times New Roman" w:hAnsi="Times New Roman" w:cs="Times New Roman"/>
          <w:sz w:val="20"/>
          <w:szCs w:val="20"/>
        </w:rPr>
        <w:t xml:space="preserve">The counterparty credit risk management ensures that the risk is measured analysed and monitored appropriately within specified and approved limits in line with the bank’s risk appetite guidelines as mandated by the board. </w:t>
      </w:r>
    </w:p>
    <w:p w14:paraId="259DAB4A" w14:textId="77777777" w:rsidR="00E321CD" w:rsidRPr="00EF143A" w:rsidRDefault="00E321CD" w:rsidP="00E321CD">
      <w:pPr>
        <w:rPr>
          <w:rFonts w:ascii="Times New Roman" w:hAnsi="Times New Roman" w:cs="Times New Roman"/>
          <w:sz w:val="20"/>
          <w:szCs w:val="20"/>
        </w:rPr>
      </w:pPr>
      <w:r w:rsidRPr="00EF143A">
        <w:rPr>
          <w:rFonts w:ascii="Times New Roman" w:hAnsi="Times New Roman" w:cs="Times New Roman"/>
          <w:sz w:val="20"/>
          <w:szCs w:val="20"/>
        </w:rPr>
        <w:t>The Board Credit Committee utilises the approved risk quantifying methodologies and assessments to assign individual counterparty risk limits as guided. Counterparty exposure monitoring is done by the relevant credit function on a continuous basis.</w:t>
      </w:r>
    </w:p>
    <w:p w14:paraId="2CC0F9C5" w14:textId="77777777" w:rsidR="00E321CD" w:rsidRPr="00EF143A" w:rsidRDefault="00E321CD" w:rsidP="00E321CD">
      <w:pPr>
        <w:pStyle w:val="ListParagraph"/>
        <w:rPr>
          <w:rFonts w:ascii="Times New Roman" w:hAnsi="Times New Roman" w:cs="Times New Roman"/>
          <w:sz w:val="20"/>
          <w:szCs w:val="20"/>
        </w:rPr>
      </w:pPr>
    </w:p>
    <w:p w14:paraId="023AC3C7" w14:textId="77777777" w:rsidR="00E321CD" w:rsidRPr="00EF143A" w:rsidRDefault="00E321CD" w:rsidP="00E321CD">
      <w:pPr>
        <w:pStyle w:val="ListParagraph"/>
        <w:numPr>
          <w:ilvl w:val="0"/>
          <w:numId w:val="9"/>
        </w:numPr>
        <w:rPr>
          <w:rFonts w:ascii="Times New Roman" w:hAnsi="Times New Roman" w:cs="Times New Roman"/>
          <w:b/>
          <w:sz w:val="20"/>
          <w:szCs w:val="20"/>
        </w:rPr>
      </w:pPr>
      <w:r w:rsidRPr="00EF143A">
        <w:rPr>
          <w:rFonts w:ascii="Times New Roman" w:hAnsi="Times New Roman" w:cs="Times New Roman"/>
          <w:b/>
          <w:sz w:val="20"/>
          <w:szCs w:val="20"/>
        </w:rPr>
        <w:lastRenderedPageBreak/>
        <w:t>Quantitative Disclosures</w:t>
      </w:r>
    </w:p>
    <w:p w14:paraId="11673852" w14:textId="4881C928" w:rsidR="00DB5A96" w:rsidRPr="00D6060D" w:rsidRDefault="00E321CD" w:rsidP="00677641">
      <w:pPr>
        <w:rPr>
          <w:rFonts w:ascii="Times New Roman" w:hAnsi="Times New Roman" w:cs="Times New Roman"/>
          <w:sz w:val="20"/>
          <w:szCs w:val="20"/>
        </w:rPr>
      </w:pPr>
      <w:r w:rsidRPr="00EF143A">
        <w:rPr>
          <w:rFonts w:ascii="Times New Roman" w:hAnsi="Times New Roman" w:cs="Times New Roman"/>
          <w:sz w:val="20"/>
          <w:szCs w:val="20"/>
        </w:rPr>
        <w:t>The bank aligns the credit risk measurement standard with the counterparty credit risk and set limits are adhered to.</w:t>
      </w:r>
      <w:r w:rsidR="004907A8">
        <w:rPr>
          <w:rFonts w:ascii="Times New Roman" w:hAnsi="Times New Roman" w:cs="Times New Roman"/>
          <w:sz w:val="20"/>
          <w:szCs w:val="20"/>
        </w:rPr>
        <w:t xml:space="preserve"> </w:t>
      </w:r>
      <w:bookmarkEnd w:id="20"/>
    </w:p>
    <w:p w14:paraId="3A8B93CD" w14:textId="2C75AA2D" w:rsidR="00A41DFB" w:rsidRPr="00B47F53" w:rsidRDefault="00AD3C7B" w:rsidP="00184A9B">
      <w:pPr>
        <w:pStyle w:val="Heading1"/>
        <w:numPr>
          <w:ilvl w:val="0"/>
          <w:numId w:val="33"/>
        </w:numPr>
        <w:rPr>
          <w:rStyle w:val="A5"/>
          <w:rFonts w:ascii="Times New Roman" w:hAnsi="Times New Roman" w:cs="Times New Roman"/>
          <w:color w:val="auto"/>
          <w:sz w:val="20"/>
          <w:szCs w:val="20"/>
        </w:rPr>
      </w:pPr>
      <w:bookmarkStart w:id="23" w:name="_Toc100839100"/>
      <w:r w:rsidRPr="00B47F53">
        <w:rPr>
          <w:rStyle w:val="A5"/>
          <w:rFonts w:ascii="Times New Roman" w:hAnsi="Times New Roman" w:cs="Times New Roman"/>
          <w:color w:val="auto"/>
          <w:sz w:val="20"/>
          <w:szCs w:val="20"/>
        </w:rPr>
        <w:t>Market Risk</w:t>
      </w:r>
      <w:bookmarkEnd w:id="23"/>
    </w:p>
    <w:p w14:paraId="17B1EC94" w14:textId="77777777" w:rsidR="00A41DFB" w:rsidRPr="00B47F53" w:rsidRDefault="00A41DFB" w:rsidP="00F02282">
      <w:pPr>
        <w:pStyle w:val="ListParagraph"/>
        <w:spacing w:after="0"/>
        <w:rPr>
          <w:rFonts w:ascii="Times New Roman" w:hAnsi="Times New Roman" w:cs="Times New Roman"/>
          <w:b/>
          <w:sz w:val="20"/>
          <w:szCs w:val="20"/>
        </w:rPr>
      </w:pPr>
    </w:p>
    <w:p w14:paraId="1FCD99B9" w14:textId="77777777" w:rsidR="00AD3C7B" w:rsidRPr="00B47F53" w:rsidRDefault="00AD3C7B" w:rsidP="00F8167B">
      <w:pPr>
        <w:rPr>
          <w:rFonts w:ascii="Times New Roman" w:hAnsi="Times New Roman" w:cs="Times New Roman"/>
          <w:b/>
          <w:sz w:val="20"/>
          <w:szCs w:val="20"/>
        </w:rPr>
      </w:pPr>
      <w:r w:rsidRPr="00B47F53">
        <w:rPr>
          <w:rFonts w:ascii="Times New Roman" w:hAnsi="Times New Roman" w:cs="Times New Roman"/>
          <w:b/>
          <w:sz w:val="20"/>
          <w:szCs w:val="20"/>
        </w:rPr>
        <w:t>(a) Qualitative Disclosures</w:t>
      </w:r>
    </w:p>
    <w:p w14:paraId="2D8F0B46" w14:textId="77777777" w:rsidR="00AD3C7B" w:rsidRPr="00B47F53" w:rsidRDefault="00AD3C7B" w:rsidP="00F8167B">
      <w:pPr>
        <w:spacing w:before="100" w:beforeAutospacing="1" w:after="100" w:afterAutospacing="1"/>
        <w:jc w:val="both"/>
        <w:rPr>
          <w:rFonts w:ascii="Times New Roman" w:hAnsi="Times New Roman" w:cs="Times New Roman"/>
          <w:sz w:val="20"/>
          <w:szCs w:val="20"/>
        </w:rPr>
      </w:pPr>
      <w:r w:rsidRPr="00B47F53">
        <w:rPr>
          <w:rFonts w:ascii="Times New Roman" w:hAnsi="Times New Roman" w:cs="Times New Roman"/>
          <w:sz w:val="20"/>
          <w:szCs w:val="20"/>
        </w:rPr>
        <w:t>Market risk is the risk that changes in market prices such as interest rates foreign exchange rates and other comprehensive income prices will affect the Bank’s income or the value of its holding of financial instruments. The objective is to manage and control market risk exposures within acceptable parameters while optimising the return on risk.</w:t>
      </w:r>
    </w:p>
    <w:p w14:paraId="63B057B1" w14:textId="6ED1141B" w:rsidR="00AD3C7B" w:rsidRPr="00B47F53" w:rsidRDefault="00AD3C7B" w:rsidP="00F8167B">
      <w:pPr>
        <w:tabs>
          <w:tab w:val="num" w:pos="0"/>
        </w:tabs>
        <w:ind w:left="1080" w:hanging="1080"/>
        <w:jc w:val="both"/>
        <w:rPr>
          <w:rFonts w:ascii="Times New Roman" w:hAnsi="Times New Roman" w:cs="Times New Roman"/>
          <w:sz w:val="20"/>
          <w:szCs w:val="20"/>
        </w:rPr>
      </w:pPr>
      <w:r w:rsidRPr="00B47F53">
        <w:rPr>
          <w:rFonts w:ascii="Times New Roman" w:hAnsi="Times New Roman" w:cs="Times New Roman"/>
          <w:sz w:val="20"/>
          <w:szCs w:val="20"/>
        </w:rPr>
        <w:t xml:space="preserve">The treasury department ensures the </w:t>
      </w:r>
      <w:r w:rsidR="00F3365A" w:rsidRPr="00B47F53">
        <w:rPr>
          <w:rFonts w:ascii="Times New Roman" w:hAnsi="Times New Roman" w:cs="Times New Roman"/>
          <w:sz w:val="20"/>
          <w:szCs w:val="20"/>
        </w:rPr>
        <w:t>following: -</w:t>
      </w:r>
    </w:p>
    <w:p w14:paraId="7F210447" w14:textId="77777777" w:rsidR="00AD3C7B" w:rsidRPr="00B47F53" w:rsidRDefault="00AD3C7B" w:rsidP="00A26251">
      <w:pPr>
        <w:numPr>
          <w:ilvl w:val="0"/>
          <w:numId w:val="6"/>
        </w:numPr>
        <w:tabs>
          <w:tab w:val="clear" w:pos="720"/>
          <w:tab w:val="num" w:pos="1080"/>
        </w:tabs>
        <w:ind w:left="1080"/>
        <w:jc w:val="both"/>
        <w:rPr>
          <w:rFonts w:ascii="Times New Roman" w:hAnsi="Times New Roman" w:cs="Times New Roman"/>
          <w:sz w:val="20"/>
          <w:szCs w:val="20"/>
        </w:rPr>
      </w:pPr>
      <w:r w:rsidRPr="00B47F53">
        <w:rPr>
          <w:rFonts w:ascii="Times New Roman" w:hAnsi="Times New Roman" w:cs="Times New Roman"/>
          <w:sz w:val="20"/>
          <w:szCs w:val="20"/>
        </w:rPr>
        <w:t>Setting the foreign exchange risk management strategy and tolerance levels.</w:t>
      </w:r>
    </w:p>
    <w:p w14:paraId="30AE15F9" w14:textId="77777777" w:rsidR="00AD3C7B" w:rsidRPr="00B47F53" w:rsidRDefault="00AD3C7B" w:rsidP="00A26251">
      <w:pPr>
        <w:numPr>
          <w:ilvl w:val="0"/>
          <w:numId w:val="6"/>
        </w:numPr>
        <w:tabs>
          <w:tab w:val="clear" w:pos="720"/>
          <w:tab w:val="num" w:pos="1080"/>
        </w:tabs>
        <w:ind w:left="1080"/>
        <w:jc w:val="both"/>
        <w:rPr>
          <w:rFonts w:ascii="Times New Roman" w:hAnsi="Times New Roman" w:cs="Times New Roman"/>
          <w:sz w:val="20"/>
          <w:szCs w:val="20"/>
        </w:rPr>
      </w:pPr>
      <w:r w:rsidRPr="00B47F53">
        <w:rPr>
          <w:rFonts w:ascii="Times New Roman" w:hAnsi="Times New Roman" w:cs="Times New Roman"/>
          <w:sz w:val="20"/>
          <w:szCs w:val="20"/>
        </w:rPr>
        <w:t>Ensuring that effective risk management systems and internal controls are in place.</w:t>
      </w:r>
    </w:p>
    <w:p w14:paraId="218DC6CD" w14:textId="77777777" w:rsidR="00AD3C7B" w:rsidRPr="00B47F53" w:rsidRDefault="00AD3C7B" w:rsidP="00A26251">
      <w:pPr>
        <w:numPr>
          <w:ilvl w:val="0"/>
          <w:numId w:val="6"/>
        </w:numPr>
        <w:tabs>
          <w:tab w:val="clear" w:pos="720"/>
          <w:tab w:val="num" w:pos="1080"/>
        </w:tabs>
        <w:ind w:left="1080"/>
        <w:jc w:val="both"/>
        <w:rPr>
          <w:rFonts w:ascii="Times New Roman" w:hAnsi="Times New Roman" w:cs="Times New Roman"/>
          <w:sz w:val="20"/>
          <w:szCs w:val="20"/>
        </w:rPr>
      </w:pPr>
      <w:r w:rsidRPr="00B47F53">
        <w:rPr>
          <w:rFonts w:ascii="Times New Roman" w:hAnsi="Times New Roman" w:cs="Times New Roman"/>
          <w:sz w:val="20"/>
          <w:szCs w:val="20"/>
        </w:rPr>
        <w:t>Monitoring significant foreign exchange exposure.</w:t>
      </w:r>
    </w:p>
    <w:p w14:paraId="57107C0A" w14:textId="77777777" w:rsidR="00AD3C7B" w:rsidRPr="00B47F53" w:rsidRDefault="00AD3C7B" w:rsidP="00A26251">
      <w:pPr>
        <w:numPr>
          <w:ilvl w:val="0"/>
          <w:numId w:val="6"/>
        </w:numPr>
        <w:tabs>
          <w:tab w:val="clear" w:pos="720"/>
          <w:tab w:val="num" w:pos="1080"/>
        </w:tabs>
        <w:ind w:left="1080"/>
        <w:jc w:val="both"/>
        <w:rPr>
          <w:rFonts w:ascii="Times New Roman" w:hAnsi="Times New Roman" w:cs="Times New Roman"/>
          <w:sz w:val="20"/>
          <w:szCs w:val="20"/>
        </w:rPr>
      </w:pPr>
      <w:r w:rsidRPr="00B47F53">
        <w:rPr>
          <w:rFonts w:ascii="Times New Roman" w:hAnsi="Times New Roman" w:cs="Times New Roman"/>
          <w:sz w:val="20"/>
          <w:szCs w:val="20"/>
        </w:rPr>
        <w:t>Ensuring that foreign exchange operations are supported by adequate management information systems which complement the risk management strategy.</w:t>
      </w:r>
    </w:p>
    <w:p w14:paraId="2E73761B" w14:textId="77777777" w:rsidR="00AD3C7B" w:rsidRPr="00B47F53" w:rsidRDefault="00AD3C7B" w:rsidP="00A26251">
      <w:pPr>
        <w:numPr>
          <w:ilvl w:val="0"/>
          <w:numId w:val="6"/>
        </w:numPr>
        <w:tabs>
          <w:tab w:val="clear" w:pos="720"/>
          <w:tab w:val="num" w:pos="1080"/>
        </w:tabs>
        <w:ind w:left="1080"/>
        <w:jc w:val="both"/>
        <w:rPr>
          <w:rFonts w:ascii="Times New Roman" w:hAnsi="Times New Roman" w:cs="Times New Roman"/>
          <w:sz w:val="20"/>
          <w:szCs w:val="20"/>
        </w:rPr>
      </w:pPr>
      <w:r w:rsidRPr="00B47F53">
        <w:rPr>
          <w:rFonts w:ascii="Times New Roman" w:hAnsi="Times New Roman" w:cs="Times New Roman"/>
          <w:sz w:val="20"/>
          <w:szCs w:val="20"/>
        </w:rPr>
        <w:t>Reviewing the policies procedures and currency limits regularly in line with changes in the economic environment.</w:t>
      </w:r>
    </w:p>
    <w:p w14:paraId="1E86C7EC" w14:textId="1CF18CB4" w:rsidR="00AD3C7B" w:rsidRDefault="00AD3C7B" w:rsidP="00F8167B">
      <w:pPr>
        <w:jc w:val="both"/>
        <w:rPr>
          <w:rFonts w:ascii="Times New Roman" w:hAnsi="Times New Roman" w:cs="Times New Roman"/>
          <w:sz w:val="20"/>
          <w:szCs w:val="20"/>
        </w:rPr>
      </w:pPr>
      <w:r w:rsidRPr="00B47F53">
        <w:rPr>
          <w:rFonts w:ascii="Times New Roman" w:hAnsi="Times New Roman" w:cs="Times New Roman"/>
          <w:sz w:val="20"/>
          <w:szCs w:val="20"/>
        </w:rPr>
        <w:t>The ALCO regularly monitors the controls put in place by the treasury department which are approved and reviewed by the Board from time to time.</w:t>
      </w:r>
    </w:p>
    <w:p w14:paraId="33B0619B" w14:textId="77777777" w:rsidR="00AD3C7B" w:rsidRPr="00B47F53" w:rsidRDefault="00AD3C7B" w:rsidP="00A26251">
      <w:pPr>
        <w:pStyle w:val="ListParagraph"/>
        <w:numPr>
          <w:ilvl w:val="0"/>
          <w:numId w:val="10"/>
        </w:numPr>
        <w:spacing w:before="100" w:beforeAutospacing="1" w:after="100" w:afterAutospacing="1"/>
        <w:jc w:val="both"/>
        <w:rPr>
          <w:rFonts w:ascii="Times New Roman" w:hAnsi="Times New Roman" w:cs="Times New Roman"/>
          <w:b/>
          <w:sz w:val="20"/>
          <w:szCs w:val="20"/>
        </w:rPr>
      </w:pPr>
      <w:r w:rsidRPr="00B47F53">
        <w:rPr>
          <w:rFonts w:ascii="Times New Roman" w:hAnsi="Times New Roman" w:cs="Times New Roman"/>
          <w:b/>
          <w:sz w:val="20"/>
          <w:szCs w:val="20"/>
        </w:rPr>
        <w:t>Quantitative Disclosures</w:t>
      </w:r>
    </w:p>
    <w:p w14:paraId="109D4BFB" w14:textId="77777777" w:rsidR="00AD3C7B" w:rsidRPr="00B47F53" w:rsidRDefault="00AD3C7B" w:rsidP="00F8167B">
      <w:pPr>
        <w:spacing w:before="100" w:beforeAutospacing="1" w:after="100" w:afterAutospacing="1"/>
        <w:jc w:val="both"/>
        <w:rPr>
          <w:rFonts w:ascii="Times New Roman" w:hAnsi="Times New Roman" w:cs="Times New Roman"/>
          <w:sz w:val="20"/>
          <w:szCs w:val="20"/>
        </w:rPr>
      </w:pPr>
      <w:r w:rsidRPr="00B47F53">
        <w:rPr>
          <w:rFonts w:ascii="Times New Roman" w:hAnsi="Times New Roman" w:cs="Times New Roman"/>
          <w:sz w:val="20"/>
          <w:szCs w:val="20"/>
        </w:rPr>
        <w:t xml:space="preserve">The capital requirement for: </w:t>
      </w:r>
    </w:p>
    <w:p w14:paraId="7D789966" w14:textId="77777777" w:rsidR="00AD3C7B" w:rsidRPr="00B47F53" w:rsidRDefault="00AD3C7B" w:rsidP="00A26251">
      <w:pPr>
        <w:pStyle w:val="ListParagraph"/>
        <w:numPr>
          <w:ilvl w:val="0"/>
          <w:numId w:val="7"/>
        </w:numPr>
        <w:spacing w:before="100" w:beforeAutospacing="1" w:after="100" w:afterAutospacing="1"/>
        <w:jc w:val="both"/>
        <w:rPr>
          <w:rFonts w:ascii="Times New Roman" w:hAnsi="Times New Roman" w:cs="Times New Roman"/>
          <w:b/>
          <w:sz w:val="20"/>
          <w:szCs w:val="20"/>
        </w:rPr>
      </w:pPr>
      <w:r w:rsidRPr="00B47F53">
        <w:rPr>
          <w:rFonts w:ascii="Times New Roman" w:hAnsi="Times New Roman" w:cs="Times New Roman"/>
          <w:b/>
          <w:sz w:val="20"/>
          <w:szCs w:val="20"/>
        </w:rPr>
        <w:t>Interest rate risk</w:t>
      </w:r>
    </w:p>
    <w:p w14:paraId="16A1C742" w14:textId="18A02C46" w:rsidR="00AD3C7B" w:rsidRPr="00B47F53" w:rsidRDefault="00AD3C7B" w:rsidP="00F8167B">
      <w:pPr>
        <w:pStyle w:val="Default"/>
        <w:spacing w:line="276" w:lineRule="auto"/>
        <w:jc w:val="both"/>
        <w:rPr>
          <w:sz w:val="20"/>
          <w:szCs w:val="20"/>
        </w:rPr>
      </w:pPr>
      <w:r w:rsidRPr="00B47F53">
        <w:rPr>
          <w:sz w:val="20"/>
          <w:szCs w:val="20"/>
        </w:rPr>
        <w:t xml:space="preserve">Interest rate risk is the exposure of Bank’s financial condition to adverse movements in interest rates.  It arises from timing differences in the maturity or re-pricing of the </w:t>
      </w:r>
      <w:r w:rsidR="00A143D0">
        <w:rPr>
          <w:sz w:val="20"/>
          <w:szCs w:val="20"/>
        </w:rPr>
        <w:t>b</w:t>
      </w:r>
      <w:r w:rsidRPr="00B47F53">
        <w:rPr>
          <w:sz w:val="20"/>
          <w:szCs w:val="20"/>
        </w:rPr>
        <w:t xml:space="preserve">ank’s assets and liabilities. The Asset and Liability Committee (ALCO) monitors interest rate risk in the </w:t>
      </w:r>
      <w:r w:rsidR="00A143D0">
        <w:rPr>
          <w:sz w:val="20"/>
          <w:szCs w:val="20"/>
        </w:rPr>
        <w:t>b</w:t>
      </w:r>
      <w:r w:rsidRPr="00B47F53">
        <w:rPr>
          <w:sz w:val="20"/>
          <w:szCs w:val="20"/>
        </w:rPr>
        <w:t xml:space="preserve">ank. </w:t>
      </w:r>
    </w:p>
    <w:p w14:paraId="5765E35A" w14:textId="77777777" w:rsidR="00AD3C7B" w:rsidRPr="00B47F53" w:rsidRDefault="00AD3C7B" w:rsidP="00F8167B">
      <w:pPr>
        <w:pStyle w:val="Default"/>
        <w:spacing w:line="276" w:lineRule="auto"/>
        <w:jc w:val="both"/>
        <w:rPr>
          <w:sz w:val="20"/>
          <w:szCs w:val="20"/>
        </w:rPr>
      </w:pPr>
    </w:p>
    <w:p w14:paraId="7ACFCC42" w14:textId="77777777" w:rsidR="00AD3C7B" w:rsidRPr="00B47F53" w:rsidRDefault="00AD3C7B" w:rsidP="00F8167B">
      <w:pPr>
        <w:autoSpaceDE w:val="0"/>
        <w:autoSpaceDN w:val="0"/>
        <w:adjustRightInd w:val="0"/>
        <w:spacing w:after="0"/>
        <w:jc w:val="both"/>
        <w:rPr>
          <w:rFonts w:ascii="Times New Roman" w:hAnsi="Times New Roman" w:cs="Times New Roman"/>
          <w:sz w:val="20"/>
          <w:szCs w:val="20"/>
        </w:rPr>
      </w:pPr>
      <w:r w:rsidRPr="00B47F53">
        <w:rPr>
          <w:rFonts w:ascii="Times New Roman" w:hAnsi="Times New Roman" w:cs="Times New Roman"/>
          <w:sz w:val="20"/>
          <w:szCs w:val="20"/>
        </w:rPr>
        <w:t>ALCO considers the bank’s sensitivity to interest rate movements and regularly reviews the re-pricing mismatches. The bank’s assets are largely funded by short-dated deposits. Pricing is linked to the prime lending rate so that although the assets are long-term the bank can re-price immediately upon a change in policy rates and this minimizes the mismatch risk. The bank strives to match asset and liability re-pricing positions as far as possible and have positive gap in initial time buckets.</w:t>
      </w:r>
    </w:p>
    <w:p w14:paraId="10DBF4A5" w14:textId="77777777" w:rsidR="00AD3C7B" w:rsidRPr="00B47F53" w:rsidRDefault="00AD3C7B" w:rsidP="00F8167B">
      <w:pPr>
        <w:pStyle w:val="Default"/>
        <w:spacing w:line="276" w:lineRule="auto"/>
        <w:jc w:val="both"/>
        <w:rPr>
          <w:sz w:val="20"/>
          <w:szCs w:val="20"/>
        </w:rPr>
      </w:pPr>
    </w:p>
    <w:p w14:paraId="30ABD3B3" w14:textId="77777777" w:rsidR="00AD3C7B" w:rsidRPr="00B47F53" w:rsidRDefault="00AD3C7B" w:rsidP="00F8167B">
      <w:pPr>
        <w:autoSpaceDE w:val="0"/>
        <w:autoSpaceDN w:val="0"/>
        <w:adjustRightInd w:val="0"/>
        <w:spacing w:after="0"/>
        <w:jc w:val="both"/>
        <w:rPr>
          <w:rFonts w:ascii="Times New Roman" w:hAnsi="Times New Roman" w:cs="Times New Roman"/>
          <w:sz w:val="20"/>
          <w:szCs w:val="20"/>
        </w:rPr>
      </w:pPr>
      <w:r w:rsidRPr="00B47F53">
        <w:rPr>
          <w:rFonts w:ascii="Times New Roman" w:hAnsi="Times New Roman" w:cs="Times New Roman"/>
          <w:sz w:val="20"/>
          <w:szCs w:val="20"/>
        </w:rPr>
        <w:t xml:space="preserve">Changes in interest rates impact on the net interest margin of the bank. The Asset and Liability Committee (ALCO) considers the bank’s sensitivity to interest rate movements and regularly reviews the repricing mismatches. The bank’s assets are largely funded by short-dated deposits. Pricing is linked to the prime lending rate so that although the assets are long-term the bank can reprice immediately upon a change in policy rates and this minimizes the mismatch risk. The bank strives to match asset and liability re-pricing positions as far as possible and have positive gap in initial time buckets </w:t>
      </w:r>
    </w:p>
    <w:p w14:paraId="4AE5572A" w14:textId="77777777" w:rsidR="00AD3C7B" w:rsidRPr="00B47F53" w:rsidRDefault="00AD3C7B" w:rsidP="00F8167B">
      <w:pPr>
        <w:autoSpaceDE w:val="0"/>
        <w:autoSpaceDN w:val="0"/>
        <w:adjustRightInd w:val="0"/>
        <w:spacing w:after="0"/>
        <w:jc w:val="both"/>
        <w:rPr>
          <w:rFonts w:ascii="Times New Roman" w:hAnsi="Times New Roman" w:cs="Times New Roman"/>
          <w:sz w:val="20"/>
          <w:szCs w:val="20"/>
        </w:rPr>
      </w:pPr>
    </w:p>
    <w:p w14:paraId="5B4DB7A1" w14:textId="77777777" w:rsidR="009C1CAA" w:rsidRPr="00B47F53" w:rsidRDefault="00AD3C7B" w:rsidP="00F8167B">
      <w:pPr>
        <w:autoSpaceDE w:val="0"/>
        <w:autoSpaceDN w:val="0"/>
        <w:adjustRightInd w:val="0"/>
        <w:spacing w:after="0"/>
        <w:jc w:val="both"/>
        <w:rPr>
          <w:rFonts w:ascii="Times New Roman" w:hAnsi="Times New Roman" w:cs="Times New Roman"/>
          <w:sz w:val="20"/>
          <w:szCs w:val="20"/>
        </w:rPr>
      </w:pPr>
      <w:r w:rsidRPr="00B47F53">
        <w:rPr>
          <w:rFonts w:ascii="Times New Roman" w:hAnsi="Times New Roman" w:cs="Times New Roman"/>
          <w:sz w:val="20"/>
          <w:szCs w:val="20"/>
        </w:rPr>
        <w:t>ALCO monitors the mismatch positions and actively manages the interest rate in the banking book. Pricing of liabilities is guided by ALCO. Business is encouraged to diversify and improve the deposit mix. Continuous efforts are made to identify new sources of deposits and to lengthen the liability profile.</w:t>
      </w:r>
    </w:p>
    <w:p w14:paraId="4F8A7F5E" w14:textId="77777777" w:rsidR="009C1CAA" w:rsidRPr="00B47F53" w:rsidRDefault="009C1CAA" w:rsidP="00F8167B">
      <w:pPr>
        <w:autoSpaceDE w:val="0"/>
        <w:autoSpaceDN w:val="0"/>
        <w:adjustRightInd w:val="0"/>
        <w:spacing w:after="0"/>
        <w:jc w:val="both"/>
        <w:rPr>
          <w:rFonts w:ascii="Times New Roman" w:hAnsi="Times New Roman" w:cs="Times New Roman"/>
          <w:sz w:val="20"/>
          <w:szCs w:val="20"/>
        </w:rPr>
      </w:pPr>
    </w:p>
    <w:p w14:paraId="0F4517DC" w14:textId="08533340" w:rsidR="009C1CAA" w:rsidRDefault="009C1CAA" w:rsidP="009C1CAA">
      <w:pPr>
        <w:autoSpaceDE w:val="0"/>
        <w:autoSpaceDN w:val="0"/>
        <w:adjustRightInd w:val="0"/>
        <w:spacing w:after="0"/>
        <w:jc w:val="both"/>
        <w:rPr>
          <w:rFonts w:ascii="Times New Roman" w:hAnsi="Times New Roman" w:cs="Times New Roman"/>
          <w:b/>
          <w:bCs/>
          <w:sz w:val="20"/>
          <w:szCs w:val="20"/>
        </w:rPr>
      </w:pPr>
      <w:r w:rsidRPr="00D24183">
        <w:rPr>
          <w:rFonts w:ascii="Times New Roman" w:hAnsi="Times New Roman" w:cs="Times New Roman"/>
          <w:b/>
          <w:bCs/>
          <w:sz w:val="20"/>
          <w:szCs w:val="20"/>
        </w:rPr>
        <w:t>Interest Rate Risk in the Banking Book (IRRBB)</w:t>
      </w:r>
    </w:p>
    <w:p w14:paraId="7AE1E5BA" w14:textId="77777777" w:rsidR="00D24183" w:rsidRPr="00D24183" w:rsidRDefault="00D24183" w:rsidP="009C1CAA">
      <w:pPr>
        <w:autoSpaceDE w:val="0"/>
        <w:autoSpaceDN w:val="0"/>
        <w:adjustRightInd w:val="0"/>
        <w:spacing w:after="0"/>
        <w:jc w:val="both"/>
        <w:rPr>
          <w:rFonts w:ascii="Times New Roman" w:hAnsi="Times New Roman" w:cs="Times New Roman"/>
          <w:b/>
          <w:bCs/>
          <w:sz w:val="20"/>
          <w:szCs w:val="20"/>
        </w:rPr>
      </w:pPr>
    </w:p>
    <w:p w14:paraId="68B11D2C" w14:textId="77777777" w:rsidR="009C1CAA" w:rsidRPr="00B47F53" w:rsidRDefault="00F739FB" w:rsidP="009C1CAA">
      <w:pPr>
        <w:autoSpaceDE w:val="0"/>
        <w:autoSpaceDN w:val="0"/>
        <w:adjustRightInd w:val="0"/>
        <w:spacing w:after="0"/>
        <w:jc w:val="both"/>
        <w:rPr>
          <w:rFonts w:ascii="Times New Roman" w:hAnsi="Times New Roman" w:cs="Times New Roman"/>
          <w:sz w:val="20"/>
          <w:szCs w:val="20"/>
        </w:rPr>
      </w:pPr>
      <w:r w:rsidRPr="00B47F53">
        <w:rPr>
          <w:rFonts w:ascii="Times New Roman" w:hAnsi="Times New Roman" w:cs="Times New Roman"/>
          <w:sz w:val="20"/>
          <w:szCs w:val="20"/>
        </w:rPr>
        <w:t>The bank recognizes the need to hold capital for mismatch risk arising from positions held to maturity. The bank is in the process of developing capacity through the deployment of BALM (</w:t>
      </w:r>
      <w:r w:rsidR="00316A02" w:rsidRPr="00B47F53">
        <w:rPr>
          <w:rFonts w:ascii="Times New Roman" w:hAnsi="Times New Roman" w:cs="Times New Roman"/>
          <w:sz w:val="20"/>
          <w:szCs w:val="20"/>
        </w:rPr>
        <w:t xml:space="preserve">Bank </w:t>
      </w:r>
      <w:r w:rsidRPr="00B47F53">
        <w:rPr>
          <w:rFonts w:ascii="Times New Roman" w:hAnsi="Times New Roman" w:cs="Times New Roman"/>
          <w:sz w:val="20"/>
          <w:szCs w:val="20"/>
        </w:rPr>
        <w:t xml:space="preserve">Asset and Liability Management Solution) to enable an effective measurement of Economic Value of Equity (EVE) in determining the impact of interest rate changes on capital. </w:t>
      </w:r>
      <w:r w:rsidR="00316A02" w:rsidRPr="00B47F53">
        <w:rPr>
          <w:rFonts w:ascii="Times New Roman" w:hAnsi="Times New Roman" w:cs="Times New Roman"/>
          <w:sz w:val="20"/>
          <w:szCs w:val="20"/>
        </w:rPr>
        <w:t>The bank’s exposure is measured through the unmatched gap in the interest rate sensitive positions. Currently the bank has not established a measure of capital requirement for such mismatches and therefore applies an arbitrarily set 3.0 percent add-on.</w:t>
      </w:r>
    </w:p>
    <w:p w14:paraId="6DB92169" w14:textId="77777777" w:rsidR="00316A02" w:rsidRPr="00B47F53" w:rsidRDefault="00316A02" w:rsidP="009C1CAA">
      <w:pPr>
        <w:autoSpaceDE w:val="0"/>
        <w:autoSpaceDN w:val="0"/>
        <w:adjustRightInd w:val="0"/>
        <w:spacing w:after="0"/>
        <w:jc w:val="both"/>
        <w:rPr>
          <w:rFonts w:ascii="Times New Roman" w:hAnsi="Times New Roman" w:cs="Times New Roman"/>
          <w:color w:val="FF0000"/>
          <w:sz w:val="20"/>
          <w:szCs w:val="20"/>
        </w:rPr>
      </w:pPr>
    </w:p>
    <w:p w14:paraId="72439FB8" w14:textId="77777777" w:rsidR="00AD3C7B" w:rsidRPr="00B47F53" w:rsidRDefault="009C1CAA" w:rsidP="009C1CAA">
      <w:pPr>
        <w:autoSpaceDE w:val="0"/>
        <w:autoSpaceDN w:val="0"/>
        <w:adjustRightInd w:val="0"/>
        <w:spacing w:after="0"/>
        <w:jc w:val="both"/>
        <w:rPr>
          <w:rFonts w:ascii="Times New Roman" w:hAnsi="Times New Roman" w:cs="Times New Roman"/>
          <w:sz w:val="20"/>
          <w:szCs w:val="20"/>
        </w:rPr>
      </w:pPr>
      <w:r w:rsidRPr="00B47F53">
        <w:rPr>
          <w:rFonts w:ascii="Times New Roman" w:hAnsi="Times New Roman" w:cs="Times New Roman"/>
          <w:sz w:val="20"/>
          <w:szCs w:val="20"/>
        </w:rPr>
        <w:t xml:space="preserve">IRRBB is the exposure of the bank’s financial condition to adverse </w:t>
      </w:r>
      <w:r w:rsidR="00FB2AB2" w:rsidRPr="00B47F53">
        <w:rPr>
          <w:rFonts w:ascii="Times New Roman" w:hAnsi="Times New Roman" w:cs="Times New Roman"/>
          <w:sz w:val="20"/>
          <w:szCs w:val="20"/>
        </w:rPr>
        <w:t xml:space="preserve">or favourable </w:t>
      </w:r>
      <w:r w:rsidRPr="00B47F53">
        <w:rPr>
          <w:rFonts w:ascii="Times New Roman" w:hAnsi="Times New Roman" w:cs="Times New Roman"/>
          <w:sz w:val="20"/>
          <w:szCs w:val="20"/>
        </w:rPr>
        <w:t xml:space="preserve">movements in interest rates. This arises mainly due to a </w:t>
      </w:r>
      <w:r w:rsidR="00FF4116" w:rsidRPr="00B47F53">
        <w:rPr>
          <w:rFonts w:ascii="Times New Roman" w:hAnsi="Times New Roman" w:cs="Times New Roman"/>
          <w:sz w:val="20"/>
          <w:szCs w:val="20"/>
        </w:rPr>
        <w:t xml:space="preserve">maturity mismatch </w:t>
      </w:r>
      <w:r w:rsidRPr="00B47F53">
        <w:rPr>
          <w:rFonts w:ascii="Times New Roman" w:hAnsi="Times New Roman" w:cs="Times New Roman"/>
          <w:sz w:val="20"/>
          <w:szCs w:val="20"/>
        </w:rPr>
        <w:t>between the bank’s assets and liabilities. Accepting this risk is a normal part of banking and it can be an important source of profitability and shareholder value for the bank. However, excessive interest rate risk can pose a serious threat to a bank’s earnings and capital base. Changes in interest rates affect the bank’s earnings by changing its Net Interest Income (NII)</w:t>
      </w:r>
      <w:r w:rsidR="00FB2AB2" w:rsidRPr="00B47F53">
        <w:rPr>
          <w:rFonts w:ascii="Times New Roman" w:hAnsi="Times New Roman" w:cs="Times New Roman"/>
          <w:sz w:val="20"/>
          <w:szCs w:val="20"/>
        </w:rPr>
        <w:t xml:space="preserve"> and</w:t>
      </w:r>
      <w:r w:rsidRPr="00B47F53">
        <w:rPr>
          <w:rFonts w:ascii="Times New Roman" w:hAnsi="Times New Roman" w:cs="Times New Roman"/>
          <w:sz w:val="20"/>
          <w:szCs w:val="20"/>
        </w:rPr>
        <w:t xml:space="preserve"> fair value banking book profit. The most important sources of interest rate risk are re-pricing risk, yield curve risk, basis risk, optionality risk.</w:t>
      </w:r>
    </w:p>
    <w:p w14:paraId="2753494F" w14:textId="77777777" w:rsidR="00AD3C7B" w:rsidRPr="00B47F53" w:rsidRDefault="00AD3C7B" w:rsidP="00F8167B">
      <w:pPr>
        <w:autoSpaceDE w:val="0"/>
        <w:autoSpaceDN w:val="0"/>
        <w:adjustRightInd w:val="0"/>
        <w:spacing w:after="0"/>
        <w:jc w:val="both"/>
        <w:rPr>
          <w:rFonts w:ascii="Times New Roman" w:hAnsi="Times New Roman" w:cs="Times New Roman"/>
          <w:b/>
          <w:bCs/>
          <w:sz w:val="20"/>
          <w:szCs w:val="20"/>
        </w:rPr>
      </w:pPr>
    </w:p>
    <w:p w14:paraId="41303217" w14:textId="77777777" w:rsidR="00AD3C7B" w:rsidRPr="00B47F53" w:rsidRDefault="00AD3C7B" w:rsidP="00A26251">
      <w:pPr>
        <w:pStyle w:val="ListParagraph"/>
        <w:numPr>
          <w:ilvl w:val="0"/>
          <w:numId w:val="7"/>
        </w:numPr>
        <w:jc w:val="both"/>
        <w:rPr>
          <w:rFonts w:ascii="Times New Roman" w:hAnsi="Times New Roman" w:cs="Times New Roman"/>
          <w:b/>
          <w:sz w:val="20"/>
          <w:szCs w:val="20"/>
        </w:rPr>
      </w:pPr>
      <w:r w:rsidRPr="00B47F53">
        <w:rPr>
          <w:rFonts w:ascii="Times New Roman" w:hAnsi="Times New Roman" w:cs="Times New Roman"/>
          <w:b/>
          <w:sz w:val="20"/>
          <w:szCs w:val="20"/>
        </w:rPr>
        <w:t>Foreign Exchange Rate Risk Management</w:t>
      </w:r>
    </w:p>
    <w:p w14:paraId="70FE86C0" w14:textId="5EA407CF" w:rsidR="00AD3C7B" w:rsidRPr="00B47F53" w:rsidRDefault="00AD3C7B" w:rsidP="00F8167B">
      <w:pPr>
        <w:jc w:val="both"/>
        <w:rPr>
          <w:rFonts w:ascii="Times New Roman" w:hAnsi="Times New Roman" w:cs="Times New Roman"/>
          <w:sz w:val="20"/>
          <w:szCs w:val="20"/>
        </w:rPr>
      </w:pPr>
      <w:r w:rsidRPr="00B47F53">
        <w:rPr>
          <w:rFonts w:ascii="Times New Roman" w:hAnsi="Times New Roman" w:cs="Times New Roman"/>
          <w:sz w:val="20"/>
          <w:szCs w:val="20"/>
        </w:rPr>
        <w:t xml:space="preserve">Treasury department monitors foreign exchange risk. Foreign exchange rate risk is the potential impact of adverse currency rates movements on earnings and economic value. This involves the risk of the </w:t>
      </w:r>
      <w:r w:rsidR="001A0F7D">
        <w:rPr>
          <w:rFonts w:ascii="Times New Roman" w:hAnsi="Times New Roman" w:cs="Times New Roman"/>
          <w:sz w:val="20"/>
          <w:szCs w:val="20"/>
        </w:rPr>
        <w:t>b</w:t>
      </w:r>
      <w:r w:rsidRPr="00B47F53">
        <w:rPr>
          <w:rFonts w:ascii="Times New Roman" w:hAnsi="Times New Roman" w:cs="Times New Roman"/>
          <w:sz w:val="20"/>
          <w:szCs w:val="20"/>
        </w:rPr>
        <w:t>ank incurring financial loss on settlement of foreign exchange positions taken in both the trading and banking books.  The foreign exchange positions arise</w:t>
      </w:r>
      <w:r w:rsidR="001A0F7D">
        <w:rPr>
          <w:rFonts w:ascii="Times New Roman" w:hAnsi="Times New Roman" w:cs="Times New Roman"/>
          <w:sz w:val="20"/>
          <w:szCs w:val="20"/>
        </w:rPr>
        <w:t>s</w:t>
      </w:r>
      <w:r w:rsidRPr="00B47F53">
        <w:rPr>
          <w:rFonts w:ascii="Times New Roman" w:hAnsi="Times New Roman" w:cs="Times New Roman"/>
          <w:sz w:val="20"/>
          <w:szCs w:val="20"/>
        </w:rPr>
        <w:t xml:space="preserve"> from the following </w:t>
      </w:r>
      <w:r w:rsidR="00F3365A" w:rsidRPr="00B47F53">
        <w:rPr>
          <w:rFonts w:ascii="Times New Roman" w:hAnsi="Times New Roman" w:cs="Times New Roman"/>
          <w:sz w:val="20"/>
          <w:szCs w:val="20"/>
        </w:rPr>
        <w:t>activities: -</w:t>
      </w:r>
    </w:p>
    <w:p w14:paraId="6F847141" w14:textId="77777777" w:rsidR="00AD3C7B" w:rsidRPr="00B47F53" w:rsidRDefault="00AD3C7B" w:rsidP="00A26251">
      <w:pPr>
        <w:numPr>
          <w:ilvl w:val="0"/>
          <w:numId w:val="5"/>
        </w:numPr>
        <w:tabs>
          <w:tab w:val="clear" w:pos="720"/>
          <w:tab w:val="num" w:pos="1080"/>
        </w:tabs>
        <w:ind w:left="1080"/>
        <w:jc w:val="both"/>
        <w:rPr>
          <w:rFonts w:ascii="Times New Roman" w:hAnsi="Times New Roman" w:cs="Times New Roman"/>
          <w:sz w:val="20"/>
          <w:szCs w:val="20"/>
        </w:rPr>
      </w:pPr>
      <w:r w:rsidRPr="00B47F53">
        <w:rPr>
          <w:rFonts w:ascii="Times New Roman" w:hAnsi="Times New Roman" w:cs="Times New Roman"/>
          <w:sz w:val="20"/>
          <w:szCs w:val="20"/>
        </w:rPr>
        <w:t>Trading in foreign currencies through spot forward and option transactions as a market maker or position taker including the unhedged position arising from customer driven foreign exchange transactions.</w:t>
      </w:r>
    </w:p>
    <w:p w14:paraId="46F9AE0B" w14:textId="728257B2" w:rsidR="00AD3C7B" w:rsidRPr="00B47F53" w:rsidRDefault="00AD3C7B" w:rsidP="00A26251">
      <w:pPr>
        <w:numPr>
          <w:ilvl w:val="0"/>
          <w:numId w:val="5"/>
        </w:numPr>
        <w:tabs>
          <w:tab w:val="clear" w:pos="720"/>
          <w:tab w:val="num" w:pos="1080"/>
        </w:tabs>
        <w:ind w:left="1080"/>
        <w:jc w:val="both"/>
        <w:rPr>
          <w:rFonts w:ascii="Times New Roman" w:hAnsi="Times New Roman" w:cs="Times New Roman"/>
          <w:sz w:val="20"/>
          <w:szCs w:val="20"/>
        </w:rPr>
      </w:pPr>
      <w:r w:rsidRPr="00B47F53">
        <w:rPr>
          <w:rFonts w:ascii="Times New Roman" w:hAnsi="Times New Roman" w:cs="Times New Roman"/>
          <w:sz w:val="20"/>
          <w:szCs w:val="20"/>
        </w:rPr>
        <w:t xml:space="preserve">Holding foreign currency position in the </w:t>
      </w:r>
      <w:r w:rsidR="0065528C">
        <w:rPr>
          <w:rFonts w:ascii="Times New Roman" w:hAnsi="Times New Roman" w:cs="Times New Roman"/>
          <w:sz w:val="20"/>
          <w:szCs w:val="20"/>
        </w:rPr>
        <w:t>b</w:t>
      </w:r>
      <w:r w:rsidRPr="00B47F53">
        <w:rPr>
          <w:rFonts w:ascii="Times New Roman" w:hAnsi="Times New Roman" w:cs="Times New Roman"/>
          <w:sz w:val="20"/>
          <w:szCs w:val="20"/>
        </w:rPr>
        <w:t xml:space="preserve">ank books (e.g. in the form of loans deposits cross border investments </w:t>
      </w:r>
      <w:r w:rsidR="00835D04" w:rsidRPr="00B47F53">
        <w:rPr>
          <w:rFonts w:ascii="Times New Roman" w:hAnsi="Times New Roman" w:cs="Times New Roman"/>
          <w:sz w:val="20"/>
          <w:szCs w:val="20"/>
        </w:rPr>
        <w:t>etc.</w:t>
      </w:r>
      <w:r w:rsidRPr="00B47F53">
        <w:rPr>
          <w:rFonts w:ascii="Times New Roman" w:hAnsi="Times New Roman" w:cs="Times New Roman"/>
          <w:sz w:val="20"/>
          <w:szCs w:val="20"/>
        </w:rPr>
        <w:t>).</w:t>
      </w:r>
    </w:p>
    <w:p w14:paraId="55576C73" w14:textId="5132AAAE" w:rsidR="00186E26" w:rsidRDefault="00AD3C7B" w:rsidP="0065528C">
      <w:pPr>
        <w:autoSpaceDE w:val="0"/>
        <w:autoSpaceDN w:val="0"/>
        <w:adjustRightInd w:val="0"/>
        <w:spacing w:after="0"/>
        <w:jc w:val="both"/>
        <w:rPr>
          <w:rFonts w:ascii="Times New Roman" w:hAnsi="Times New Roman" w:cs="Times New Roman"/>
          <w:sz w:val="20"/>
          <w:szCs w:val="20"/>
        </w:rPr>
      </w:pPr>
      <w:r w:rsidRPr="004550E7">
        <w:rPr>
          <w:rFonts w:ascii="Times New Roman" w:hAnsi="Times New Roman" w:cs="Times New Roman"/>
          <w:sz w:val="20"/>
          <w:szCs w:val="20"/>
        </w:rPr>
        <w:t xml:space="preserve">The bank’s exposure to foreign currency risk is minimal. The bank monitors the unhedged position of the bank in all foreign currencies. The regulator limits the net open position to 15% of regulatory capital for a single currency and to 30% of regulatory capital for an aggregate of currencies. </w:t>
      </w:r>
      <w:bookmarkStart w:id="24" w:name="_Hlk69465633"/>
      <w:r w:rsidRPr="004550E7">
        <w:rPr>
          <w:rFonts w:ascii="Times New Roman" w:hAnsi="Times New Roman" w:cs="Times New Roman"/>
          <w:sz w:val="20"/>
          <w:szCs w:val="20"/>
        </w:rPr>
        <w:t>The net open position on foreign currency of the bank as a percentage of unimpaire</w:t>
      </w:r>
      <w:r w:rsidR="00F30817" w:rsidRPr="004550E7">
        <w:rPr>
          <w:rFonts w:ascii="Times New Roman" w:hAnsi="Times New Roman" w:cs="Times New Roman"/>
          <w:sz w:val="20"/>
          <w:szCs w:val="20"/>
        </w:rPr>
        <w:t xml:space="preserve">d capital was </w:t>
      </w:r>
      <w:r w:rsidR="0050030F" w:rsidRPr="004550E7">
        <w:rPr>
          <w:rFonts w:ascii="Times New Roman" w:hAnsi="Times New Roman" w:cs="Times New Roman"/>
          <w:sz w:val="20"/>
          <w:szCs w:val="20"/>
        </w:rPr>
        <w:t xml:space="preserve">-1.79% </w:t>
      </w:r>
      <w:r w:rsidR="00ED69E8" w:rsidRPr="004550E7">
        <w:rPr>
          <w:rFonts w:ascii="Times New Roman" w:hAnsi="Times New Roman" w:cs="Times New Roman"/>
          <w:sz w:val="20"/>
          <w:szCs w:val="20"/>
        </w:rPr>
        <w:t xml:space="preserve">in </w:t>
      </w:r>
      <w:r w:rsidR="0050030F" w:rsidRPr="004550E7">
        <w:rPr>
          <w:rFonts w:ascii="Times New Roman" w:hAnsi="Times New Roman" w:cs="Times New Roman"/>
          <w:sz w:val="20"/>
          <w:szCs w:val="20"/>
        </w:rPr>
        <w:t>March</w:t>
      </w:r>
      <w:r w:rsidR="00E40960" w:rsidRPr="004550E7">
        <w:rPr>
          <w:rFonts w:ascii="Times New Roman" w:hAnsi="Times New Roman" w:cs="Times New Roman"/>
          <w:sz w:val="20"/>
          <w:szCs w:val="20"/>
        </w:rPr>
        <w:t xml:space="preserve"> </w:t>
      </w:r>
      <w:r w:rsidR="005C377E" w:rsidRPr="004550E7">
        <w:rPr>
          <w:rFonts w:ascii="Times New Roman" w:hAnsi="Times New Roman" w:cs="Times New Roman"/>
          <w:sz w:val="20"/>
          <w:szCs w:val="20"/>
        </w:rPr>
        <w:t>202</w:t>
      </w:r>
      <w:r w:rsidR="0050030F" w:rsidRPr="004550E7">
        <w:rPr>
          <w:rFonts w:ascii="Times New Roman" w:hAnsi="Times New Roman" w:cs="Times New Roman"/>
          <w:sz w:val="20"/>
          <w:szCs w:val="20"/>
        </w:rPr>
        <w:t>2</w:t>
      </w:r>
      <w:r w:rsidR="00ED69E8" w:rsidRPr="004550E7">
        <w:rPr>
          <w:rFonts w:ascii="Times New Roman" w:hAnsi="Times New Roman" w:cs="Times New Roman"/>
          <w:sz w:val="20"/>
          <w:szCs w:val="20"/>
        </w:rPr>
        <w:t xml:space="preserve"> from </w:t>
      </w:r>
      <w:r w:rsidR="0050030F" w:rsidRPr="004550E7">
        <w:rPr>
          <w:rFonts w:ascii="Times New Roman" w:hAnsi="Times New Roman" w:cs="Times New Roman"/>
          <w:sz w:val="20"/>
          <w:szCs w:val="20"/>
        </w:rPr>
        <w:t xml:space="preserve">-0.87% </w:t>
      </w:r>
      <w:r w:rsidRPr="004550E7">
        <w:rPr>
          <w:rFonts w:ascii="Times New Roman" w:hAnsi="Times New Roman" w:cs="Times New Roman"/>
          <w:sz w:val="20"/>
          <w:szCs w:val="20"/>
        </w:rPr>
        <w:t>in</w:t>
      </w:r>
      <w:r w:rsidR="00744FF3" w:rsidRPr="004550E7">
        <w:rPr>
          <w:rFonts w:ascii="Times New Roman" w:hAnsi="Times New Roman" w:cs="Times New Roman"/>
          <w:sz w:val="20"/>
          <w:szCs w:val="20"/>
        </w:rPr>
        <w:t xml:space="preserve"> </w:t>
      </w:r>
      <w:r w:rsidR="0050030F" w:rsidRPr="004550E7">
        <w:rPr>
          <w:rFonts w:ascii="Times New Roman" w:hAnsi="Times New Roman" w:cs="Times New Roman"/>
          <w:sz w:val="20"/>
          <w:szCs w:val="20"/>
        </w:rPr>
        <w:t>December</w:t>
      </w:r>
      <w:r w:rsidR="000D7A8F" w:rsidRPr="004550E7">
        <w:rPr>
          <w:rFonts w:ascii="Times New Roman" w:hAnsi="Times New Roman" w:cs="Times New Roman"/>
          <w:sz w:val="20"/>
          <w:szCs w:val="20"/>
        </w:rPr>
        <w:t xml:space="preserve"> 202</w:t>
      </w:r>
      <w:bookmarkEnd w:id="24"/>
      <w:r w:rsidR="00FD29EE">
        <w:rPr>
          <w:rFonts w:ascii="Times New Roman" w:hAnsi="Times New Roman" w:cs="Times New Roman"/>
          <w:sz w:val="20"/>
          <w:szCs w:val="20"/>
        </w:rPr>
        <w:t>1</w:t>
      </w:r>
      <w:r w:rsidRPr="004550E7">
        <w:rPr>
          <w:rFonts w:ascii="Times New Roman" w:hAnsi="Times New Roman" w:cs="Times New Roman"/>
          <w:sz w:val="20"/>
          <w:szCs w:val="20"/>
        </w:rPr>
        <w:t>. The exposures for all the currencies were within the regulatory requirement of +/- 15% for each currency relative to the unimpaired capital. The bank continually monitors the net open position and adheres to net open position limits.</w:t>
      </w:r>
    </w:p>
    <w:p w14:paraId="1FCAAEFA" w14:textId="77777777" w:rsidR="0065528C" w:rsidRPr="0065528C" w:rsidRDefault="0065528C" w:rsidP="0065528C">
      <w:pPr>
        <w:autoSpaceDE w:val="0"/>
        <w:autoSpaceDN w:val="0"/>
        <w:adjustRightInd w:val="0"/>
        <w:spacing w:after="0"/>
        <w:jc w:val="both"/>
        <w:rPr>
          <w:rFonts w:ascii="Times New Roman" w:hAnsi="Times New Roman" w:cs="Times New Roman"/>
          <w:sz w:val="20"/>
          <w:szCs w:val="20"/>
        </w:rPr>
      </w:pPr>
    </w:p>
    <w:p w14:paraId="7F8BFCA6" w14:textId="5F47821D" w:rsidR="00AD3C7B" w:rsidRPr="00B47F53" w:rsidRDefault="00AD3C7B" w:rsidP="00F8167B">
      <w:pPr>
        <w:autoSpaceDE w:val="0"/>
        <w:autoSpaceDN w:val="0"/>
        <w:adjustRightInd w:val="0"/>
        <w:spacing w:after="0"/>
        <w:jc w:val="both"/>
        <w:rPr>
          <w:rFonts w:ascii="Times New Roman" w:hAnsi="Times New Roman" w:cs="Times New Roman"/>
          <w:b/>
          <w:bCs/>
          <w:sz w:val="20"/>
          <w:szCs w:val="20"/>
        </w:rPr>
      </w:pPr>
      <w:r w:rsidRPr="00B47F53">
        <w:rPr>
          <w:rFonts w:ascii="Times New Roman" w:hAnsi="Times New Roman" w:cs="Times New Roman"/>
          <w:b/>
          <w:bCs/>
          <w:sz w:val="20"/>
          <w:szCs w:val="20"/>
        </w:rPr>
        <w:t>Liquidity and Funding Risk</w:t>
      </w:r>
    </w:p>
    <w:p w14:paraId="38686371" w14:textId="30785F7E" w:rsidR="00AD3C7B" w:rsidRPr="00B47F53" w:rsidRDefault="00AD3C7B" w:rsidP="00F8167B">
      <w:pPr>
        <w:autoSpaceDE w:val="0"/>
        <w:autoSpaceDN w:val="0"/>
        <w:adjustRightInd w:val="0"/>
        <w:spacing w:after="0"/>
        <w:jc w:val="both"/>
        <w:rPr>
          <w:rFonts w:ascii="Times New Roman" w:hAnsi="Times New Roman" w:cs="Times New Roman"/>
          <w:sz w:val="20"/>
          <w:szCs w:val="20"/>
        </w:rPr>
      </w:pPr>
      <w:r w:rsidRPr="00B47F53">
        <w:rPr>
          <w:rFonts w:ascii="Times New Roman" w:hAnsi="Times New Roman" w:cs="Times New Roman"/>
          <w:sz w:val="20"/>
          <w:szCs w:val="20"/>
        </w:rPr>
        <w:t xml:space="preserve">The bank is exposed to funding liquidity risk. The bulk of the deposit liabilities are </w:t>
      </w:r>
      <w:r w:rsidR="00F3365A" w:rsidRPr="00B47F53">
        <w:rPr>
          <w:rFonts w:ascii="Times New Roman" w:hAnsi="Times New Roman" w:cs="Times New Roman"/>
          <w:sz w:val="20"/>
          <w:szCs w:val="20"/>
        </w:rPr>
        <w:t>short-term,</w:t>
      </w:r>
      <w:r w:rsidRPr="00B47F53">
        <w:rPr>
          <w:rFonts w:ascii="Times New Roman" w:hAnsi="Times New Roman" w:cs="Times New Roman"/>
          <w:sz w:val="20"/>
          <w:szCs w:val="20"/>
        </w:rPr>
        <w:t xml:space="preserve"> yet the bank’s assets are long-term in nature. The bank has a policy in place whose primary objective is to ensure that the bank is able to fund the bank and enable it to continue to operate and meet obligations under adverse circumstances. The bank has established liquidity guidelines that are intended to ensure that there is sufficient liquidity to withstand the potential impact of deposit attrition or diminished liquidity. The guidelines include maintaining an adequate liquidity reserve to cover potential funding requirements and diversified funding sources to avoid overdependence on volatile less reliable funding markets.</w:t>
      </w:r>
    </w:p>
    <w:p w14:paraId="17BBB8B3" w14:textId="77777777" w:rsidR="00AD3C7B" w:rsidRPr="00B47F53" w:rsidRDefault="00AD3C7B" w:rsidP="00F8167B">
      <w:pPr>
        <w:autoSpaceDE w:val="0"/>
        <w:autoSpaceDN w:val="0"/>
        <w:adjustRightInd w:val="0"/>
        <w:spacing w:after="0"/>
        <w:jc w:val="both"/>
        <w:rPr>
          <w:rFonts w:ascii="Times New Roman" w:hAnsi="Times New Roman" w:cs="Times New Roman"/>
          <w:sz w:val="20"/>
          <w:szCs w:val="20"/>
        </w:rPr>
      </w:pPr>
    </w:p>
    <w:p w14:paraId="17A96BEB" w14:textId="77777777" w:rsidR="00AD3C7B" w:rsidRPr="00B47F53" w:rsidRDefault="00AD3C7B" w:rsidP="00F8167B">
      <w:pPr>
        <w:autoSpaceDE w:val="0"/>
        <w:autoSpaceDN w:val="0"/>
        <w:adjustRightInd w:val="0"/>
        <w:spacing w:after="0"/>
        <w:jc w:val="both"/>
        <w:rPr>
          <w:rFonts w:ascii="Times New Roman" w:hAnsi="Times New Roman" w:cs="Times New Roman"/>
          <w:sz w:val="20"/>
          <w:szCs w:val="20"/>
        </w:rPr>
      </w:pPr>
      <w:r w:rsidRPr="00B47F53">
        <w:rPr>
          <w:rFonts w:ascii="Times New Roman" w:hAnsi="Times New Roman" w:cs="Times New Roman"/>
          <w:sz w:val="20"/>
          <w:szCs w:val="20"/>
        </w:rPr>
        <w:lastRenderedPageBreak/>
        <w:t>Liquidity risk is managed according to the following principles:</w:t>
      </w:r>
    </w:p>
    <w:p w14:paraId="599DD562" w14:textId="77777777" w:rsidR="00AD3C7B" w:rsidRPr="00B47F53" w:rsidRDefault="00AD3C7B" w:rsidP="00F8167B">
      <w:pPr>
        <w:autoSpaceDE w:val="0"/>
        <w:autoSpaceDN w:val="0"/>
        <w:adjustRightInd w:val="0"/>
        <w:spacing w:after="0"/>
        <w:jc w:val="both"/>
        <w:rPr>
          <w:rFonts w:ascii="Times New Roman" w:hAnsi="Times New Roman" w:cs="Times New Roman"/>
          <w:bCs/>
          <w:sz w:val="20"/>
          <w:szCs w:val="20"/>
        </w:rPr>
      </w:pPr>
    </w:p>
    <w:p w14:paraId="17100797" w14:textId="77777777" w:rsidR="00AD3C7B" w:rsidRPr="00B47F53" w:rsidRDefault="00AD3C7B" w:rsidP="00F8167B">
      <w:pPr>
        <w:autoSpaceDE w:val="0"/>
        <w:autoSpaceDN w:val="0"/>
        <w:adjustRightInd w:val="0"/>
        <w:spacing w:after="0"/>
        <w:jc w:val="both"/>
        <w:rPr>
          <w:rFonts w:ascii="Times New Roman" w:hAnsi="Times New Roman" w:cs="Times New Roman"/>
          <w:sz w:val="20"/>
          <w:szCs w:val="20"/>
        </w:rPr>
      </w:pPr>
      <w:r w:rsidRPr="00B47F53">
        <w:rPr>
          <w:rFonts w:ascii="Times New Roman" w:hAnsi="Times New Roman" w:cs="Times New Roman"/>
          <w:b/>
          <w:bCs/>
          <w:sz w:val="20"/>
          <w:szCs w:val="20"/>
        </w:rPr>
        <w:t>Excess Liquidity</w:t>
      </w:r>
      <w:r w:rsidRPr="00B47F53">
        <w:rPr>
          <w:rFonts w:ascii="Times New Roman" w:hAnsi="Times New Roman" w:cs="Times New Roman"/>
          <w:bCs/>
          <w:sz w:val="20"/>
          <w:szCs w:val="20"/>
        </w:rPr>
        <w:t xml:space="preserve"> </w:t>
      </w:r>
      <w:r w:rsidRPr="00B47F53">
        <w:rPr>
          <w:rFonts w:ascii="Times New Roman" w:hAnsi="Times New Roman" w:cs="Times New Roman"/>
          <w:sz w:val="20"/>
          <w:szCs w:val="20"/>
        </w:rPr>
        <w:t>– The bank seeks to maintain excess liquidity to meet a broad and comprehensive range of potential cash outflows and collateral needs in a stressed environment. While the regulatory liquid asset ratio (LAR) is 10% the bank has set for itself a soft limit of 12% where the 2% buffer provides a cushion during a stressed liquidity environment.</w:t>
      </w:r>
    </w:p>
    <w:p w14:paraId="5CFFF06A" w14:textId="77777777" w:rsidR="00AD3C7B" w:rsidRPr="00B47F53" w:rsidRDefault="00AD3C7B" w:rsidP="00F8167B">
      <w:pPr>
        <w:autoSpaceDE w:val="0"/>
        <w:autoSpaceDN w:val="0"/>
        <w:adjustRightInd w:val="0"/>
        <w:spacing w:after="0"/>
        <w:jc w:val="both"/>
        <w:rPr>
          <w:rFonts w:ascii="Times New Roman" w:hAnsi="Times New Roman" w:cs="Times New Roman"/>
          <w:bCs/>
          <w:sz w:val="20"/>
          <w:szCs w:val="20"/>
        </w:rPr>
      </w:pPr>
    </w:p>
    <w:p w14:paraId="61B6F410" w14:textId="77777777" w:rsidR="00AD3C7B" w:rsidRPr="00B47F53" w:rsidRDefault="00AD3C7B" w:rsidP="00F8167B">
      <w:pPr>
        <w:autoSpaceDE w:val="0"/>
        <w:autoSpaceDN w:val="0"/>
        <w:adjustRightInd w:val="0"/>
        <w:spacing w:after="0"/>
        <w:jc w:val="both"/>
        <w:rPr>
          <w:rFonts w:ascii="Times New Roman" w:hAnsi="Times New Roman" w:cs="Times New Roman"/>
          <w:sz w:val="20"/>
          <w:szCs w:val="20"/>
        </w:rPr>
      </w:pPr>
      <w:r w:rsidRPr="00B47F53">
        <w:rPr>
          <w:rFonts w:ascii="Times New Roman" w:hAnsi="Times New Roman" w:cs="Times New Roman"/>
          <w:b/>
          <w:bCs/>
          <w:sz w:val="20"/>
          <w:szCs w:val="20"/>
        </w:rPr>
        <w:t>Asset-Liability Management</w:t>
      </w:r>
      <w:r w:rsidRPr="00B47F53">
        <w:rPr>
          <w:rFonts w:ascii="Times New Roman" w:hAnsi="Times New Roman" w:cs="Times New Roman"/>
          <w:bCs/>
          <w:sz w:val="20"/>
          <w:szCs w:val="20"/>
        </w:rPr>
        <w:t xml:space="preserve"> </w:t>
      </w:r>
      <w:r w:rsidRPr="00B47F53">
        <w:rPr>
          <w:rFonts w:ascii="Times New Roman" w:hAnsi="Times New Roman" w:cs="Times New Roman"/>
          <w:sz w:val="20"/>
          <w:szCs w:val="20"/>
        </w:rPr>
        <w:t>– The bank has an Asset and Liability Committee (ALCO) through which anticipated holding periods of assets and their potential illiquidity in a stressed environment are assessed. Liquidity maturity mismatches and level of funding diversification across markets products and counterparties are managed and efforts are made to maintain liabilities of appropriate tenor relative to the asset base.</w:t>
      </w:r>
    </w:p>
    <w:p w14:paraId="42BDF6AF" w14:textId="77777777" w:rsidR="00AD3C7B" w:rsidRPr="00B47F53" w:rsidRDefault="00AD3C7B" w:rsidP="00F8167B">
      <w:pPr>
        <w:autoSpaceDE w:val="0"/>
        <w:autoSpaceDN w:val="0"/>
        <w:adjustRightInd w:val="0"/>
        <w:spacing w:after="0"/>
        <w:jc w:val="both"/>
        <w:rPr>
          <w:rFonts w:ascii="Times New Roman" w:hAnsi="Times New Roman" w:cs="Times New Roman"/>
          <w:bCs/>
          <w:sz w:val="20"/>
          <w:szCs w:val="20"/>
        </w:rPr>
      </w:pPr>
    </w:p>
    <w:p w14:paraId="0CAD6E7F" w14:textId="310921A9" w:rsidR="00AD3C7B" w:rsidRDefault="00AD3C7B" w:rsidP="00F8167B">
      <w:pPr>
        <w:autoSpaceDE w:val="0"/>
        <w:autoSpaceDN w:val="0"/>
        <w:adjustRightInd w:val="0"/>
        <w:spacing w:after="0"/>
        <w:jc w:val="both"/>
        <w:rPr>
          <w:rFonts w:ascii="Times New Roman" w:hAnsi="Times New Roman" w:cs="Times New Roman"/>
          <w:sz w:val="20"/>
          <w:szCs w:val="20"/>
        </w:rPr>
      </w:pPr>
      <w:r w:rsidRPr="00B47F53">
        <w:rPr>
          <w:rFonts w:ascii="Times New Roman" w:hAnsi="Times New Roman" w:cs="Times New Roman"/>
          <w:b/>
          <w:bCs/>
          <w:sz w:val="20"/>
          <w:szCs w:val="20"/>
        </w:rPr>
        <w:t>Liquidity Contingency Plan</w:t>
      </w:r>
      <w:r w:rsidRPr="00B47F53">
        <w:rPr>
          <w:rFonts w:ascii="Times New Roman" w:hAnsi="Times New Roman" w:cs="Times New Roman"/>
          <w:bCs/>
          <w:sz w:val="20"/>
          <w:szCs w:val="20"/>
        </w:rPr>
        <w:t xml:space="preserve"> </w:t>
      </w:r>
      <w:r w:rsidRPr="00B47F53">
        <w:rPr>
          <w:rFonts w:ascii="Times New Roman" w:hAnsi="Times New Roman" w:cs="Times New Roman"/>
          <w:sz w:val="20"/>
          <w:szCs w:val="20"/>
        </w:rPr>
        <w:t xml:space="preserve">– The bank maintains a </w:t>
      </w:r>
      <w:r w:rsidR="00AD1C69">
        <w:rPr>
          <w:rFonts w:ascii="Times New Roman" w:hAnsi="Times New Roman" w:cs="Times New Roman"/>
          <w:sz w:val="20"/>
          <w:szCs w:val="20"/>
        </w:rPr>
        <w:t xml:space="preserve">liquidity </w:t>
      </w:r>
      <w:r w:rsidRPr="00B47F53">
        <w:rPr>
          <w:rFonts w:ascii="Times New Roman" w:hAnsi="Times New Roman" w:cs="Times New Roman"/>
          <w:sz w:val="20"/>
          <w:szCs w:val="20"/>
        </w:rPr>
        <w:t xml:space="preserve">contingency funding plan </w:t>
      </w:r>
      <w:r w:rsidR="00AD1C69">
        <w:rPr>
          <w:rFonts w:ascii="Times New Roman" w:hAnsi="Times New Roman" w:cs="Times New Roman"/>
          <w:sz w:val="20"/>
          <w:szCs w:val="20"/>
        </w:rPr>
        <w:t xml:space="preserve">(LCP) </w:t>
      </w:r>
      <w:r w:rsidRPr="00B47F53">
        <w:rPr>
          <w:rFonts w:ascii="Times New Roman" w:hAnsi="Times New Roman" w:cs="Times New Roman"/>
          <w:sz w:val="20"/>
          <w:szCs w:val="20"/>
        </w:rPr>
        <w:t>to provide a framework for analysing and responding to a liquidity crisis situation or periods of market stress. The framework sets the plan of action to fund normal business activity in emergency and stress situations early enough. It provides management with a set of possible actions to address potential liquidity threats. The LCP operates in conjunction with the finance and treasury management policy and the assets and liabilities management (ALM) policy to ensure a coordinated approach to liquidity management.</w:t>
      </w:r>
    </w:p>
    <w:p w14:paraId="465D17E0" w14:textId="77777777" w:rsidR="006D5BBA" w:rsidRPr="00B47F53" w:rsidRDefault="006D5BBA" w:rsidP="00F8167B">
      <w:pPr>
        <w:autoSpaceDE w:val="0"/>
        <w:autoSpaceDN w:val="0"/>
        <w:adjustRightInd w:val="0"/>
        <w:spacing w:after="0"/>
        <w:jc w:val="both"/>
        <w:rPr>
          <w:rFonts w:ascii="Times New Roman" w:hAnsi="Times New Roman" w:cs="Times New Roman"/>
          <w:sz w:val="20"/>
          <w:szCs w:val="20"/>
        </w:rPr>
      </w:pPr>
    </w:p>
    <w:p w14:paraId="3A19B95D" w14:textId="0294C222" w:rsidR="00AD3C7B" w:rsidRPr="00B47F53" w:rsidRDefault="00AD3C7B" w:rsidP="00F8167B">
      <w:pPr>
        <w:autoSpaceDE w:val="0"/>
        <w:autoSpaceDN w:val="0"/>
        <w:adjustRightInd w:val="0"/>
        <w:spacing w:after="0"/>
        <w:jc w:val="both"/>
        <w:rPr>
          <w:rFonts w:ascii="Times New Roman" w:hAnsi="Times New Roman" w:cs="Times New Roman"/>
          <w:sz w:val="20"/>
          <w:szCs w:val="20"/>
        </w:rPr>
      </w:pPr>
      <w:r w:rsidRPr="00B47F53">
        <w:rPr>
          <w:rFonts w:ascii="Times New Roman" w:hAnsi="Times New Roman" w:cs="Times New Roman"/>
          <w:sz w:val="20"/>
          <w:szCs w:val="20"/>
        </w:rPr>
        <w:t xml:space="preserve">A liquidity position is produced daily and </w:t>
      </w:r>
      <w:r w:rsidR="00835D04" w:rsidRPr="00B47F53">
        <w:rPr>
          <w:rFonts w:ascii="Times New Roman" w:hAnsi="Times New Roman" w:cs="Times New Roman"/>
          <w:sz w:val="20"/>
          <w:szCs w:val="20"/>
        </w:rPr>
        <w:t>analysed</w:t>
      </w:r>
      <w:r w:rsidRPr="00B47F53">
        <w:rPr>
          <w:rFonts w:ascii="Times New Roman" w:hAnsi="Times New Roman" w:cs="Times New Roman"/>
          <w:sz w:val="20"/>
          <w:szCs w:val="20"/>
        </w:rPr>
        <w:t xml:space="preserve">. Treasury department assess and manage the overall liquidity position of the bank. Liquidity ratios are closely monitored. LAR should be at least 12% and the </w:t>
      </w:r>
      <w:r w:rsidR="0040602B" w:rsidRPr="0040602B">
        <w:rPr>
          <w:rFonts w:ascii="Times New Roman" w:hAnsi="Times New Roman" w:cs="Times New Roman"/>
          <w:sz w:val="20"/>
          <w:szCs w:val="20"/>
        </w:rPr>
        <w:t>loan deposit ratio (LDR)</w:t>
      </w:r>
      <w:r w:rsidRPr="00B47F53">
        <w:rPr>
          <w:rFonts w:ascii="Times New Roman" w:hAnsi="Times New Roman" w:cs="Times New Roman"/>
          <w:sz w:val="20"/>
          <w:szCs w:val="20"/>
        </w:rPr>
        <w:t xml:space="preserve"> shoul</w:t>
      </w:r>
      <w:r w:rsidR="00C4770D" w:rsidRPr="00B47F53">
        <w:rPr>
          <w:rFonts w:ascii="Times New Roman" w:hAnsi="Times New Roman" w:cs="Times New Roman"/>
          <w:sz w:val="20"/>
          <w:szCs w:val="20"/>
        </w:rPr>
        <w:t xml:space="preserve">d be at most 85%. The LAR was </w:t>
      </w:r>
      <w:r w:rsidR="0050030F" w:rsidRPr="0050030F">
        <w:rPr>
          <w:rFonts w:ascii="Times New Roman" w:hAnsi="Times New Roman" w:cs="Times New Roman"/>
          <w:sz w:val="20"/>
          <w:szCs w:val="20"/>
        </w:rPr>
        <w:t>16.94%</w:t>
      </w:r>
      <w:r w:rsidR="0050030F">
        <w:rPr>
          <w:rFonts w:ascii="Times New Roman" w:hAnsi="Times New Roman" w:cs="Times New Roman"/>
          <w:sz w:val="20"/>
          <w:szCs w:val="20"/>
        </w:rPr>
        <w:t xml:space="preserve"> </w:t>
      </w:r>
      <w:r w:rsidRPr="00B47F53">
        <w:rPr>
          <w:rFonts w:ascii="Times New Roman" w:hAnsi="Times New Roman" w:cs="Times New Roman"/>
          <w:sz w:val="20"/>
          <w:szCs w:val="20"/>
        </w:rPr>
        <w:t>and sufficiently above the inter</w:t>
      </w:r>
      <w:r w:rsidR="00F17808" w:rsidRPr="00B47F53">
        <w:rPr>
          <w:rFonts w:ascii="Times New Roman" w:hAnsi="Times New Roman" w:cs="Times New Roman"/>
          <w:sz w:val="20"/>
          <w:szCs w:val="20"/>
        </w:rPr>
        <w:t>nal limit of 12%; the</w:t>
      </w:r>
      <w:r w:rsidR="0040602B">
        <w:rPr>
          <w:rFonts w:ascii="Times New Roman" w:hAnsi="Times New Roman" w:cs="Times New Roman"/>
          <w:sz w:val="20"/>
          <w:szCs w:val="20"/>
        </w:rPr>
        <w:t xml:space="preserve"> </w:t>
      </w:r>
      <w:r w:rsidR="00F17808" w:rsidRPr="00B47F53">
        <w:rPr>
          <w:rFonts w:ascii="Times New Roman" w:hAnsi="Times New Roman" w:cs="Times New Roman"/>
          <w:sz w:val="20"/>
          <w:szCs w:val="20"/>
        </w:rPr>
        <w:t>LDR</w:t>
      </w:r>
      <w:r w:rsidR="0040602B">
        <w:rPr>
          <w:rFonts w:ascii="Times New Roman" w:hAnsi="Times New Roman" w:cs="Times New Roman"/>
          <w:sz w:val="20"/>
          <w:szCs w:val="20"/>
        </w:rPr>
        <w:t xml:space="preserve"> </w:t>
      </w:r>
      <w:r w:rsidR="00F17808" w:rsidRPr="00B47F53">
        <w:rPr>
          <w:rFonts w:ascii="Times New Roman" w:hAnsi="Times New Roman" w:cs="Times New Roman"/>
          <w:sz w:val="20"/>
          <w:szCs w:val="20"/>
        </w:rPr>
        <w:t xml:space="preserve">was </w:t>
      </w:r>
      <w:r w:rsidR="00296AC8" w:rsidRPr="00296AC8">
        <w:rPr>
          <w:rFonts w:ascii="Times New Roman" w:hAnsi="Times New Roman" w:cs="Times New Roman"/>
          <w:sz w:val="20"/>
          <w:szCs w:val="20"/>
        </w:rPr>
        <w:t>87.55%</w:t>
      </w:r>
    </w:p>
    <w:p w14:paraId="07E90AEB" w14:textId="77777777" w:rsidR="00AD3C7B" w:rsidRPr="00B47F53" w:rsidRDefault="00AD3C7B" w:rsidP="00F8167B">
      <w:pPr>
        <w:autoSpaceDE w:val="0"/>
        <w:autoSpaceDN w:val="0"/>
        <w:adjustRightInd w:val="0"/>
        <w:spacing w:after="0"/>
        <w:jc w:val="both"/>
        <w:rPr>
          <w:rFonts w:ascii="Times New Roman" w:hAnsi="Times New Roman" w:cs="Times New Roman"/>
          <w:sz w:val="20"/>
          <w:szCs w:val="20"/>
        </w:rPr>
      </w:pPr>
    </w:p>
    <w:p w14:paraId="12547C97" w14:textId="77777777" w:rsidR="006B795E" w:rsidRPr="00B47F53" w:rsidRDefault="006B795E" w:rsidP="00F8167B">
      <w:pPr>
        <w:ind w:left="720"/>
        <w:jc w:val="both"/>
        <w:rPr>
          <w:rFonts w:ascii="Times New Roman" w:hAnsi="Times New Roman" w:cs="Times New Roman"/>
          <w:b/>
          <w:sz w:val="20"/>
          <w:szCs w:val="20"/>
        </w:rPr>
      </w:pPr>
      <w:r w:rsidRPr="00B47F53">
        <w:rPr>
          <w:rFonts w:ascii="Times New Roman" w:hAnsi="Times New Roman" w:cs="Times New Roman"/>
          <w:b/>
          <w:sz w:val="20"/>
          <w:szCs w:val="20"/>
        </w:rPr>
        <w:t xml:space="preserve">Market Risk </w:t>
      </w:r>
      <w:r w:rsidR="009A762B" w:rsidRPr="00B47F53">
        <w:rPr>
          <w:rFonts w:ascii="Times New Roman" w:hAnsi="Times New Roman" w:cs="Times New Roman"/>
          <w:b/>
          <w:sz w:val="20"/>
          <w:szCs w:val="20"/>
        </w:rPr>
        <w:t>under</w:t>
      </w:r>
      <w:r w:rsidRPr="00B47F53">
        <w:rPr>
          <w:rFonts w:ascii="Times New Roman" w:hAnsi="Times New Roman" w:cs="Times New Roman"/>
          <w:b/>
          <w:sz w:val="20"/>
          <w:szCs w:val="20"/>
        </w:rPr>
        <w:t xml:space="preserve"> Standardised Approach- Risk Weighted Assets</w:t>
      </w:r>
    </w:p>
    <w:tbl>
      <w:tblPr>
        <w:tblW w:w="5000" w:type="pct"/>
        <w:tblLook w:val="04A0" w:firstRow="1" w:lastRow="0" w:firstColumn="1" w:lastColumn="0" w:noHBand="0" w:noVBand="1"/>
      </w:tblPr>
      <w:tblGrid>
        <w:gridCol w:w="755"/>
        <w:gridCol w:w="2543"/>
        <w:gridCol w:w="1717"/>
        <w:gridCol w:w="2151"/>
        <w:gridCol w:w="1850"/>
      </w:tblGrid>
      <w:tr w:rsidR="006B795E" w:rsidRPr="00B47F53" w14:paraId="5AF1A1CF" w14:textId="77777777" w:rsidTr="00186E26">
        <w:trPr>
          <w:trHeight w:val="359"/>
        </w:trPr>
        <w:tc>
          <w:tcPr>
            <w:tcW w:w="4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C6E91" w14:textId="77777777" w:rsidR="006B795E" w:rsidRPr="00B47F53" w:rsidRDefault="006B795E" w:rsidP="00F8167B">
            <w:pPr>
              <w:spacing w:after="0"/>
              <w:rPr>
                <w:rFonts w:ascii="Times New Roman" w:eastAsia="Times New Roman" w:hAnsi="Times New Roman" w:cs="Times New Roman"/>
                <w:b/>
                <w:color w:val="000000"/>
                <w:sz w:val="20"/>
                <w:szCs w:val="20"/>
                <w:lang w:eastAsia="en-ZA"/>
              </w:rPr>
            </w:pPr>
            <w:r w:rsidRPr="00B47F53">
              <w:rPr>
                <w:rFonts w:ascii="Times New Roman" w:eastAsia="Times New Roman" w:hAnsi="Times New Roman" w:cs="Times New Roman"/>
                <w:b/>
                <w:color w:val="000000"/>
                <w:sz w:val="20"/>
                <w:szCs w:val="20"/>
                <w:lang w:eastAsia="en-ZA"/>
              </w:rPr>
              <w:t> P’000</w:t>
            </w:r>
          </w:p>
        </w:tc>
        <w:tc>
          <w:tcPr>
            <w:tcW w:w="1410" w:type="pct"/>
            <w:tcBorders>
              <w:top w:val="single" w:sz="4" w:space="0" w:color="auto"/>
              <w:left w:val="nil"/>
              <w:bottom w:val="single" w:sz="4" w:space="0" w:color="auto"/>
              <w:right w:val="single" w:sz="4" w:space="0" w:color="auto"/>
            </w:tcBorders>
            <w:shd w:val="clear" w:color="auto" w:fill="auto"/>
            <w:noWrap/>
            <w:vAlign w:val="bottom"/>
            <w:hideMark/>
          </w:tcPr>
          <w:p w14:paraId="7F6A95FA" w14:textId="77777777" w:rsidR="006B795E" w:rsidRPr="00B47F53" w:rsidRDefault="006B795E" w:rsidP="00F8167B">
            <w:pPr>
              <w:spacing w:after="0"/>
              <w:rPr>
                <w:rFonts w:ascii="Times New Roman" w:eastAsia="Times New Roman" w:hAnsi="Times New Roman" w:cs="Times New Roman"/>
                <w:b/>
                <w:color w:val="000000"/>
                <w:sz w:val="20"/>
                <w:szCs w:val="20"/>
                <w:lang w:eastAsia="en-ZA"/>
              </w:rPr>
            </w:pPr>
            <w:r w:rsidRPr="00B47F53">
              <w:rPr>
                <w:rFonts w:ascii="Times New Roman" w:eastAsia="Times New Roman" w:hAnsi="Times New Roman" w:cs="Times New Roman"/>
                <w:b/>
                <w:color w:val="000000"/>
                <w:sz w:val="20"/>
                <w:szCs w:val="20"/>
                <w:lang w:eastAsia="en-ZA"/>
              </w:rPr>
              <w:t>Risk</w:t>
            </w:r>
          </w:p>
        </w:tc>
        <w:tc>
          <w:tcPr>
            <w:tcW w:w="952" w:type="pct"/>
            <w:tcBorders>
              <w:top w:val="single" w:sz="4" w:space="0" w:color="auto"/>
              <w:left w:val="nil"/>
              <w:bottom w:val="single" w:sz="4" w:space="0" w:color="auto"/>
              <w:right w:val="single" w:sz="4" w:space="0" w:color="auto"/>
            </w:tcBorders>
            <w:shd w:val="clear" w:color="auto" w:fill="auto"/>
            <w:noWrap/>
            <w:vAlign w:val="bottom"/>
            <w:hideMark/>
          </w:tcPr>
          <w:p w14:paraId="370887D7" w14:textId="77777777" w:rsidR="006B795E" w:rsidRPr="00B47F53" w:rsidRDefault="006B795E" w:rsidP="00F8167B">
            <w:pPr>
              <w:spacing w:after="0"/>
              <w:rPr>
                <w:rFonts w:ascii="Times New Roman" w:eastAsia="Times New Roman" w:hAnsi="Times New Roman" w:cs="Times New Roman"/>
                <w:b/>
                <w:color w:val="000000"/>
                <w:sz w:val="20"/>
                <w:szCs w:val="20"/>
                <w:lang w:eastAsia="en-ZA"/>
              </w:rPr>
            </w:pPr>
            <w:r w:rsidRPr="00B47F53">
              <w:rPr>
                <w:rFonts w:ascii="Times New Roman" w:eastAsia="Times New Roman" w:hAnsi="Times New Roman" w:cs="Times New Roman"/>
                <w:b/>
                <w:color w:val="000000"/>
                <w:sz w:val="20"/>
                <w:szCs w:val="20"/>
                <w:lang w:eastAsia="en-ZA"/>
              </w:rPr>
              <w:t>Amount</w:t>
            </w:r>
          </w:p>
        </w:tc>
        <w:tc>
          <w:tcPr>
            <w:tcW w:w="1193" w:type="pct"/>
            <w:tcBorders>
              <w:top w:val="single" w:sz="4" w:space="0" w:color="auto"/>
              <w:left w:val="nil"/>
              <w:bottom w:val="single" w:sz="4" w:space="0" w:color="auto"/>
              <w:right w:val="single" w:sz="4" w:space="0" w:color="auto"/>
            </w:tcBorders>
            <w:shd w:val="clear" w:color="auto" w:fill="auto"/>
            <w:noWrap/>
            <w:vAlign w:val="bottom"/>
            <w:hideMark/>
          </w:tcPr>
          <w:p w14:paraId="5D500BDC" w14:textId="77777777" w:rsidR="006B795E" w:rsidRPr="00B47F53" w:rsidRDefault="006B795E" w:rsidP="00F8167B">
            <w:pPr>
              <w:spacing w:after="0"/>
              <w:rPr>
                <w:rFonts w:ascii="Times New Roman" w:eastAsia="Times New Roman" w:hAnsi="Times New Roman" w:cs="Times New Roman"/>
                <w:b/>
                <w:color w:val="000000"/>
                <w:sz w:val="20"/>
                <w:szCs w:val="20"/>
                <w:lang w:eastAsia="en-ZA"/>
              </w:rPr>
            </w:pPr>
            <w:r w:rsidRPr="00B47F53">
              <w:rPr>
                <w:rFonts w:ascii="Times New Roman" w:eastAsia="Times New Roman" w:hAnsi="Times New Roman" w:cs="Times New Roman"/>
                <w:b/>
                <w:color w:val="000000"/>
                <w:sz w:val="20"/>
                <w:szCs w:val="20"/>
                <w:lang w:eastAsia="en-ZA"/>
              </w:rPr>
              <w:t>Risk Weighted Factor</w:t>
            </w:r>
          </w:p>
        </w:tc>
        <w:tc>
          <w:tcPr>
            <w:tcW w:w="1026" w:type="pct"/>
            <w:tcBorders>
              <w:top w:val="single" w:sz="4" w:space="0" w:color="auto"/>
              <w:left w:val="nil"/>
              <w:bottom w:val="single" w:sz="4" w:space="0" w:color="auto"/>
              <w:right w:val="single" w:sz="4" w:space="0" w:color="auto"/>
            </w:tcBorders>
            <w:shd w:val="clear" w:color="auto" w:fill="auto"/>
            <w:noWrap/>
            <w:vAlign w:val="bottom"/>
            <w:hideMark/>
          </w:tcPr>
          <w:p w14:paraId="62E3DF12" w14:textId="77777777" w:rsidR="006B795E" w:rsidRPr="00B47F53" w:rsidRDefault="006B795E" w:rsidP="00F8167B">
            <w:pPr>
              <w:spacing w:after="0"/>
              <w:rPr>
                <w:rFonts w:ascii="Times New Roman" w:eastAsia="Times New Roman" w:hAnsi="Times New Roman" w:cs="Times New Roman"/>
                <w:b/>
                <w:color w:val="000000"/>
                <w:sz w:val="20"/>
                <w:szCs w:val="20"/>
                <w:lang w:eastAsia="en-ZA"/>
              </w:rPr>
            </w:pPr>
            <w:r w:rsidRPr="00B47F53">
              <w:rPr>
                <w:rFonts w:ascii="Times New Roman" w:eastAsia="Times New Roman" w:hAnsi="Times New Roman" w:cs="Times New Roman"/>
                <w:b/>
                <w:color w:val="000000"/>
                <w:sz w:val="20"/>
                <w:szCs w:val="20"/>
                <w:lang w:eastAsia="en-ZA"/>
              </w:rPr>
              <w:t xml:space="preserve">       RWA</w:t>
            </w:r>
          </w:p>
        </w:tc>
      </w:tr>
      <w:tr w:rsidR="006B795E" w:rsidRPr="00B47F53" w14:paraId="1FAF7B27" w14:textId="77777777" w:rsidTr="00186E26">
        <w:trPr>
          <w:trHeight w:val="300"/>
        </w:trPr>
        <w:tc>
          <w:tcPr>
            <w:tcW w:w="419" w:type="pct"/>
            <w:tcBorders>
              <w:top w:val="nil"/>
              <w:left w:val="single" w:sz="4" w:space="0" w:color="auto"/>
              <w:bottom w:val="single" w:sz="4" w:space="0" w:color="auto"/>
              <w:right w:val="single" w:sz="4" w:space="0" w:color="auto"/>
            </w:tcBorders>
            <w:shd w:val="clear" w:color="auto" w:fill="auto"/>
            <w:noWrap/>
            <w:vAlign w:val="bottom"/>
            <w:hideMark/>
          </w:tcPr>
          <w:p w14:paraId="02D96E1A" w14:textId="77777777" w:rsidR="006B795E" w:rsidRPr="00B47F53" w:rsidRDefault="006B795E"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 </w:t>
            </w:r>
          </w:p>
        </w:tc>
        <w:tc>
          <w:tcPr>
            <w:tcW w:w="1410" w:type="pct"/>
            <w:tcBorders>
              <w:top w:val="nil"/>
              <w:left w:val="nil"/>
              <w:bottom w:val="single" w:sz="4" w:space="0" w:color="auto"/>
              <w:right w:val="single" w:sz="4" w:space="0" w:color="auto"/>
            </w:tcBorders>
            <w:shd w:val="clear" w:color="auto" w:fill="auto"/>
            <w:noWrap/>
            <w:vAlign w:val="bottom"/>
            <w:hideMark/>
          </w:tcPr>
          <w:p w14:paraId="6A617E23" w14:textId="77777777" w:rsidR="006B795E" w:rsidRPr="00B47F53" w:rsidRDefault="006B795E"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Foreign exchange risk</w:t>
            </w:r>
          </w:p>
        </w:tc>
        <w:tc>
          <w:tcPr>
            <w:tcW w:w="952" w:type="pct"/>
            <w:tcBorders>
              <w:top w:val="nil"/>
              <w:left w:val="nil"/>
              <w:bottom w:val="single" w:sz="4" w:space="0" w:color="auto"/>
              <w:right w:val="single" w:sz="4" w:space="0" w:color="auto"/>
            </w:tcBorders>
            <w:shd w:val="clear" w:color="auto" w:fill="auto"/>
            <w:noWrap/>
            <w:vAlign w:val="bottom"/>
            <w:hideMark/>
          </w:tcPr>
          <w:p w14:paraId="3930E261" w14:textId="09D72155" w:rsidR="006B795E" w:rsidRPr="00B47F53" w:rsidRDefault="00DB5A96" w:rsidP="009B5C2A">
            <w:pPr>
              <w:pStyle w:val="NoSpacing"/>
              <w:jc w:val="right"/>
              <w:rPr>
                <w:rFonts w:ascii="Times New Roman" w:hAnsi="Times New Roman" w:cs="Times New Roman"/>
                <w:sz w:val="20"/>
                <w:szCs w:val="20"/>
                <w:lang w:eastAsia="en-ZA"/>
              </w:rPr>
            </w:pPr>
            <w:r w:rsidRPr="00DB5A96">
              <w:rPr>
                <w:rFonts w:ascii="Times New Roman" w:hAnsi="Times New Roman" w:cs="Times New Roman"/>
                <w:sz w:val="20"/>
                <w:szCs w:val="20"/>
                <w:lang w:eastAsia="en-ZA"/>
              </w:rPr>
              <w:t>449</w:t>
            </w:r>
          </w:p>
        </w:tc>
        <w:tc>
          <w:tcPr>
            <w:tcW w:w="1193" w:type="pct"/>
            <w:tcBorders>
              <w:top w:val="nil"/>
              <w:left w:val="nil"/>
              <w:bottom w:val="single" w:sz="4" w:space="0" w:color="auto"/>
              <w:right w:val="single" w:sz="4" w:space="0" w:color="auto"/>
            </w:tcBorders>
            <w:shd w:val="clear" w:color="auto" w:fill="auto"/>
            <w:noWrap/>
            <w:vAlign w:val="bottom"/>
            <w:hideMark/>
          </w:tcPr>
          <w:p w14:paraId="23696FAB" w14:textId="77777777" w:rsidR="006B795E" w:rsidRPr="00B47F53" w:rsidRDefault="006B795E" w:rsidP="00A8088A">
            <w:pPr>
              <w:pStyle w:val="NoSpacing"/>
              <w:jc w:val="right"/>
              <w:rPr>
                <w:rFonts w:ascii="Times New Roman" w:hAnsi="Times New Roman" w:cs="Times New Roman"/>
                <w:sz w:val="20"/>
                <w:szCs w:val="20"/>
                <w:lang w:eastAsia="en-ZA"/>
              </w:rPr>
            </w:pPr>
            <w:r w:rsidRPr="00B47F53">
              <w:rPr>
                <w:rFonts w:ascii="Times New Roman" w:hAnsi="Times New Roman" w:cs="Times New Roman"/>
                <w:sz w:val="20"/>
                <w:szCs w:val="20"/>
                <w:lang w:eastAsia="en-ZA"/>
              </w:rPr>
              <w:t>6.7</w:t>
            </w:r>
          </w:p>
        </w:tc>
        <w:tc>
          <w:tcPr>
            <w:tcW w:w="1026" w:type="pct"/>
            <w:tcBorders>
              <w:top w:val="nil"/>
              <w:left w:val="nil"/>
              <w:bottom w:val="single" w:sz="4" w:space="0" w:color="auto"/>
              <w:right w:val="single" w:sz="4" w:space="0" w:color="auto"/>
            </w:tcBorders>
            <w:shd w:val="clear" w:color="auto" w:fill="auto"/>
            <w:noWrap/>
            <w:vAlign w:val="bottom"/>
            <w:hideMark/>
          </w:tcPr>
          <w:p w14:paraId="1EEDB117" w14:textId="7A1910D3" w:rsidR="006B795E" w:rsidRPr="00B47F53" w:rsidRDefault="00E96E80" w:rsidP="00E96E80">
            <w:pPr>
              <w:pStyle w:val="NoSpacing"/>
              <w:jc w:val="center"/>
              <w:rPr>
                <w:rFonts w:ascii="Times New Roman" w:hAnsi="Times New Roman" w:cs="Times New Roman"/>
                <w:sz w:val="20"/>
                <w:szCs w:val="20"/>
                <w:lang w:eastAsia="en-ZA"/>
              </w:rPr>
            </w:pPr>
            <w:r>
              <w:rPr>
                <w:rFonts w:ascii="Times New Roman" w:hAnsi="Times New Roman" w:cs="Times New Roman"/>
                <w:sz w:val="20"/>
                <w:szCs w:val="20"/>
                <w:lang w:eastAsia="en-ZA"/>
              </w:rPr>
              <w:t xml:space="preserve">                      </w:t>
            </w:r>
            <w:r w:rsidR="00DB5A96" w:rsidRPr="00DB5A96">
              <w:rPr>
                <w:rFonts w:ascii="Times New Roman" w:hAnsi="Times New Roman" w:cs="Times New Roman"/>
                <w:sz w:val="20"/>
                <w:szCs w:val="20"/>
                <w:lang w:eastAsia="en-ZA"/>
              </w:rPr>
              <w:t>3,010</w:t>
            </w:r>
          </w:p>
        </w:tc>
      </w:tr>
      <w:tr w:rsidR="00186E26" w:rsidRPr="00B47F53" w14:paraId="1B45B47C" w14:textId="77777777" w:rsidTr="00186E26">
        <w:trPr>
          <w:trHeight w:val="300"/>
        </w:trPr>
        <w:tc>
          <w:tcPr>
            <w:tcW w:w="419" w:type="pct"/>
            <w:tcBorders>
              <w:top w:val="nil"/>
              <w:left w:val="single" w:sz="4" w:space="0" w:color="auto"/>
              <w:bottom w:val="single" w:sz="4" w:space="0" w:color="auto"/>
              <w:right w:val="single" w:sz="4" w:space="0" w:color="auto"/>
            </w:tcBorders>
            <w:shd w:val="clear" w:color="auto" w:fill="auto"/>
            <w:noWrap/>
            <w:vAlign w:val="bottom"/>
          </w:tcPr>
          <w:p w14:paraId="688FA501" w14:textId="77777777" w:rsidR="00186E26" w:rsidRPr="00B47F53" w:rsidRDefault="00186E26" w:rsidP="00F8167B">
            <w:pPr>
              <w:spacing w:after="0"/>
              <w:rPr>
                <w:rFonts w:ascii="Times New Roman" w:eastAsia="Times New Roman" w:hAnsi="Times New Roman" w:cs="Times New Roman"/>
                <w:color w:val="000000"/>
                <w:sz w:val="20"/>
                <w:szCs w:val="20"/>
                <w:lang w:eastAsia="en-ZA"/>
              </w:rPr>
            </w:pPr>
          </w:p>
        </w:tc>
        <w:tc>
          <w:tcPr>
            <w:tcW w:w="1410" w:type="pct"/>
            <w:tcBorders>
              <w:top w:val="nil"/>
              <w:left w:val="nil"/>
              <w:bottom w:val="single" w:sz="4" w:space="0" w:color="auto"/>
              <w:right w:val="single" w:sz="4" w:space="0" w:color="auto"/>
            </w:tcBorders>
            <w:shd w:val="clear" w:color="auto" w:fill="auto"/>
            <w:noWrap/>
            <w:vAlign w:val="bottom"/>
          </w:tcPr>
          <w:p w14:paraId="69B9F34C" w14:textId="74CAE03C" w:rsidR="00186E26" w:rsidRPr="00B47F53" w:rsidRDefault="00186E26" w:rsidP="00F8167B">
            <w:pPr>
              <w:spacing w:after="0"/>
              <w:rPr>
                <w:rFonts w:ascii="Times New Roman" w:eastAsia="Times New Roman" w:hAnsi="Times New Roman" w:cs="Times New Roman"/>
                <w:color w:val="000000"/>
                <w:sz w:val="20"/>
                <w:szCs w:val="20"/>
                <w:lang w:eastAsia="en-ZA"/>
              </w:rPr>
            </w:pPr>
            <w:r>
              <w:rPr>
                <w:rFonts w:ascii="Times New Roman" w:eastAsia="Times New Roman" w:hAnsi="Times New Roman" w:cs="Times New Roman"/>
                <w:color w:val="000000"/>
                <w:sz w:val="20"/>
                <w:szCs w:val="20"/>
                <w:lang w:eastAsia="en-ZA"/>
              </w:rPr>
              <w:t>Interest rate risk</w:t>
            </w:r>
          </w:p>
        </w:tc>
        <w:tc>
          <w:tcPr>
            <w:tcW w:w="952" w:type="pct"/>
            <w:tcBorders>
              <w:top w:val="nil"/>
              <w:left w:val="nil"/>
              <w:bottom w:val="single" w:sz="4" w:space="0" w:color="auto"/>
              <w:right w:val="single" w:sz="4" w:space="0" w:color="auto"/>
            </w:tcBorders>
            <w:shd w:val="clear" w:color="auto" w:fill="auto"/>
            <w:noWrap/>
            <w:vAlign w:val="bottom"/>
          </w:tcPr>
          <w:p w14:paraId="1DB7A5F2" w14:textId="2609668B" w:rsidR="00186E26" w:rsidRDefault="00186E26" w:rsidP="009B5C2A">
            <w:pPr>
              <w:pStyle w:val="NoSpacing"/>
              <w:jc w:val="right"/>
              <w:rPr>
                <w:rFonts w:ascii="Times New Roman" w:hAnsi="Times New Roman" w:cs="Times New Roman"/>
                <w:sz w:val="20"/>
                <w:szCs w:val="20"/>
                <w:lang w:eastAsia="en-ZA"/>
              </w:rPr>
            </w:pPr>
            <w:r>
              <w:rPr>
                <w:rFonts w:ascii="Times New Roman" w:hAnsi="Times New Roman" w:cs="Times New Roman"/>
                <w:sz w:val="20"/>
                <w:szCs w:val="20"/>
                <w:lang w:eastAsia="en-ZA"/>
              </w:rPr>
              <w:t>-</w:t>
            </w:r>
          </w:p>
        </w:tc>
        <w:tc>
          <w:tcPr>
            <w:tcW w:w="1193" w:type="pct"/>
            <w:tcBorders>
              <w:top w:val="nil"/>
              <w:left w:val="nil"/>
              <w:bottom w:val="single" w:sz="4" w:space="0" w:color="auto"/>
              <w:right w:val="single" w:sz="4" w:space="0" w:color="auto"/>
            </w:tcBorders>
            <w:shd w:val="clear" w:color="auto" w:fill="auto"/>
            <w:noWrap/>
            <w:vAlign w:val="bottom"/>
          </w:tcPr>
          <w:p w14:paraId="2965E7A4" w14:textId="51AFA901" w:rsidR="00186E26" w:rsidRPr="00B47F53" w:rsidRDefault="00186E26" w:rsidP="00A8088A">
            <w:pPr>
              <w:pStyle w:val="NoSpacing"/>
              <w:jc w:val="right"/>
              <w:rPr>
                <w:rFonts w:ascii="Times New Roman" w:hAnsi="Times New Roman" w:cs="Times New Roman"/>
                <w:sz w:val="20"/>
                <w:szCs w:val="20"/>
                <w:lang w:eastAsia="en-ZA"/>
              </w:rPr>
            </w:pPr>
            <w:r>
              <w:rPr>
                <w:rFonts w:ascii="Times New Roman" w:hAnsi="Times New Roman" w:cs="Times New Roman"/>
                <w:sz w:val="20"/>
                <w:szCs w:val="20"/>
                <w:lang w:eastAsia="en-ZA"/>
              </w:rPr>
              <w:t>-</w:t>
            </w:r>
          </w:p>
        </w:tc>
        <w:tc>
          <w:tcPr>
            <w:tcW w:w="1026" w:type="pct"/>
            <w:tcBorders>
              <w:top w:val="nil"/>
              <w:left w:val="nil"/>
              <w:bottom w:val="single" w:sz="4" w:space="0" w:color="auto"/>
              <w:right w:val="single" w:sz="4" w:space="0" w:color="auto"/>
            </w:tcBorders>
            <w:shd w:val="clear" w:color="auto" w:fill="auto"/>
            <w:noWrap/>
            <w:vAlign w:val="bottom"/>
          </w:tcPr>
          <w:p w14:paraId="4574574B" w14:textId="4F7D2956" w:rsidR="00922EDA" w:rsidRDefault="00E96369" w:rsidP="002836FD">
            <w:pPr>
              <w:pStyle w:val="NoSpacing"/>
              <w:jc w:val="right"/>
              <w:rPr>
                <w:rFonts w:ascii="Times New Roman" w:hAnsi="Times New Roman" w:cs="Times New Roman"/>
                <w:sz w:val="20"/>
                <w:szCs w:val="20"/>
                <w:lang w:eastAsia="en-ZA"/>
              </w:rPr>
            </w:pPr>
            <w:r w:rsidRPr="00E96369">
              <w:rPr>
                <w:rFonts w:ascii="Times New Roman" w:hAnsi="Times New Roman" w:cs="Times New Roman"/>
                <w:sz w:val="20"/>
                <w:szCs w:val="20"/>
                <w:lang w:eastAsia="en-ZA"/>
              </w:rPr>
              <w:t xml:space="preserve">   </w:t>
            </w:r>
            <w:r w:rsidR="002836FD">
              <w:rPr>
                <w:rFonts w:ascii="Times New Roman" w:hAnsi="Times New Roman" w:cs="Times New Roman"/>
                <w:sz w:val="20"/>
                <w:szCs w:val="20"/>
                <w:lang w:eastAsia="en-ZA"/>
              </w:rPr>
              <w:t xml:space="preserve">  </w:t>
            </w:r>
            <w:r w:rsidR="00E96E80" w:rsidRPr="00E96E80">
              <w:rPr>
                <w:rFonts w:ascii="Times New Roman" w:hAnsi="Times New Roman" w:cs="Times New Roman"/>
                <w:sz w:val="20"/>
                <w:szCs w:val="20"/>
                <w:lang w:eastAsia="en-ZA"/>
              </w:rPr>
              <w:t>24,1</w:t>
            </w:r>
            <w:r w:rsidR="00E96E80">
              <w:rPr>
                <w:rFonts w:ascii="Times New Roman" w:hAnsi="Times New Roman" w:cs="Times New Roman"/>
                <w:sz w:val="20"/>
                <w:szCs w:val="20"/>
                <w:lang w:eastAsia="en-ZA"/>
              </w:rPr>
              <w:t>10</w:t>
            </w:r>
          </w:p>
        </w:tc>
      </w:tr>
      <w:tr w:rsidR="006B795E" w:rsidRPr="00B47F53" w14:paraId="675079F3" w14:textId="77777777" w:rsidTr="00186E26">
        <w:trPr>
          <w:trHeight w:val="300"/>
        </w:trPr>
        <w:tc>
          <w:tcPr>
            <w:tcW w:w="419" w:type="pct"/>
            <w:tcBorders>
              <w:top w:val="nil"/>
              <w:left w:val="single" w:sz="4" w:space="0" w:color="auto"/>
              <w:bottom w:val="single" w:sz="4" w:space="0" w:color="auto"/>
              <w:right w:val="single" w:sz="4" w:space="0" w:color="auto"/>
            </w:tcBorders>
            <w:shd w:val="clear" w:color="auto" w:fill="auto"/>
            <w:noWrap/>
            <w:vAlign w:val="bottom"/>
          </w:tcPr>
          <w:p w14:paraId="2B104E58" w14:textId="77777777" w:rsidR="006B795E" w:rsidRPr="00B47F53" w:rsidRDefault="006B795E" w:rsidP="00F8167B">
            <w:pPr>
              <w:spacing w:after="0"/>
              <w:rPr>
                <w:rFonts w:ascii="Times New Roman" w:eastAsia="Times New Roman" w:hAnsi="Times New Roman" w:cs="Times New Roman"/>
                <w:color w:val="000000"/>
                <w:sz w:val="20"/>
                <w:szCs w:val="20"/>
                <w:lang w:eastAsia="en-ZA"/>
              </w:rPr>
            </w:pPr>
          </w:p>
        </w:tc>
        <w:tc>
          <w:tcPr>
            <w:tcW w:w="1410" w:type="pct"/>
            <w:tcBorders>
              <w:top w:val="nil"/>
              <w:left w:val="nil"/>
              <w:bottom w:val="single" w:sz="4" w:space="0" w:color="auto"/>
              <w:right w:val="single" w:sz="4" w:space="0" w:color="auto"/>
            </w:tcBorders>
            <w:shd w:val="clear" w:color="auto" w:fill="auto"/>
            <w:noWrap/>
            <w:vAlign w:val="bottom"/>
          </w:tcPr>
          <w:p w14:paraId="2B9A57F1" w14:textId="77777777" w:rsidR="006B795E" w:rsidRPr="00B47F53" w:rsidRDefault="006B795E" w:rsidP="00F8167B">
            <w:pPr>
              <w:spacing w:after="0"/>
              <w:rPr>
                <w:rFonts w:ascii="Times New Roman" w:eastAsia="Times New Roman" w:hAnsi="Times New Roman" w:cs="Times New Roman"/>
                <w:sz w:val="20"/>
                <w:szCs w:val="20"/>
                <w:lang w:eastAsia="en-ZA"/>
              </w:rPr>
            </w:pPr>
            <w:r w:rsidRPr="00B47F53">
              <w:rPr>
                <w:rFonts w:ascii="Times New Roman" w:eastAsia="Times New Roman" w:hAnsi="Times New Roman" w:cs="Times New Roman"/>
                <w:sz w:val="20"/>
                <w:szCs w:val="20"/>
                <w:lang w:eastAsia="en-ZA"/>
              </w:rPr>
              <w:t>Specific Risk</w:t>
            </w:r>
          </w:p>
        </w:tc>
        <w:tc>
          <w:tcPr>
            <w:tcW w:w="952" w:type="pct"/>
            <w:tcBorders>
              <w:top w:val="nil"/>
              <w:left w:val="nil"/>
              <w:bottom w:val="single" w:sz="4" w:space="0" w:color="auto"/>
              <w:right w:val="single" w:sz="4" w:space="0" w:color="auto"/>
            </w:tcBorders>
            <w:shd w:val="clear" w:color="auto" w:fill="auto"/>
            <w:noWrap/>
            <w:vAlign w:val="bottom"/>
          </w:tcPr>
          <w:p w14:paraId="5B2C8773" w14:textId="77777777" w:rsidR="006B795E" w:rsidRPr="00B47F53" w:rsidRDefault="00A8088A" w:rsidP="00A8088A">
            <w:pPr>
              <w:pStyle w:val="NoSpacing"/>
              <w:jc w:val="right"/>
              <w:rPr>
                <w:rFonts w:ascii="Times New Roman" w:hAnsi="Times New Roman" w:cs="Times New Roman"/>
                <w:sz w:val="20"/>
                <w:szCs w:val="20"/>
                <w:lang w:eastAsia="en-ZA"/>
              </w:rPr>
            </w:pPr>
            <w:r w:rsidRPr="00B47F53">
              <w:rPr>
                <w:rFonts w:ascii="Times New Roman" w:hAnsi="Times New Roman" w:cs="Times New Roman"/>
                <w:sz w:val="20"/>
                <w:szCs w:val="20"/>
                <w:lang w:eastAsia="en-ZA"/>
              </w:rPr>
              <w:t>-</w:t>
            </w:r>
          </w:p>
        </w:tc>
        <w:tc>
          <w:tcPr>
            <w:tcW w:w="1193" w:type="pct"/>
            <w:tcBorders>
              <w:top w:val="nil"/>
              <w:left w:val="nil"/>
              <w:bottom w:val="single" w:sz="4" w:space="0" w:color="auto"/>
              <w:right w:val="single" w:sz="4" w:space="0" w:color="auto"/>
            </w:tcBorders>
            <w:shd w:val="clear" w:color="auto" w:fill="auto"/>
            <w:noWrap/>
            <w:vAlign w:val="bottom"/>
          </w:tcPr>
          <w:p w14:paraId="56552AE1" w14:textId="633266E5" w:rsidR="006B795E" w:rsidRPr="00B47F53" w:rsidRDefault="002F26D8" w:rsidP="00A8088A">
            <w:pPr>
              <w:pStyle w:val="NoSpacing"/>
              <w:jc w:val="right"/>
              <w:rPr>
                <w:rFonts w:ascii="Times New Roman" w:hAnsi="Times New Roman" w:cs="Times New Roman"/>
                <w:sz w:val="20"/>
                <w:szCs w:val="20"/>
                <w:lang w:eastAsia="en-ZA"/>
              </w:rPr>
            </w:pPr>
            <w:r>
              <w:rPr>
                <w:rFonts w:ascii="Times New Roman" w:hAnsi="Times New Roman" w:cs="Times New Roman"/>
                <w:sz w:val="20"/>
                <w:szCs w:val="20"/>
                <w:lang w:eastAsia="en-ZA"/>
              </w:rPr>
              <w:t>-</w:t>
            </w:r>
          </w:p>
        </w:tc>
        <w:tc>
          <w:tcPr>
            <w:tcW w:w="1026" w:type="pct"/>
            <w:tcBorders>
              <w:top w:val="nil"/>
              <w:left w:val="nil"/>
              <w:bottom w:val="single" w:sz="4" w:space="0" w:color="auto"/>
              <w:right w:val="single" w:sz="4" w:space="0" w:color="auto"/>
            </w:tcBorders>
            <w:shd w:val="clear" w:color="auto" w:fill="auto"/>
            <w:noWrap/>
            <w:vAlign w:val="bottom"/>
          </w:tcPr>
          <w:p w14:paraId="1C5AED5B" w14:textId="77777777" w:rsidR="006B795E" w:rsidRPr="00B47F53" w:rsidRDefault="00D9410B" w:rsidP="00A8088A">
            <w:pPr>
              <w:pStyle w:val="NoSpacing"/>
              <w:jc w:val="right"/>
              <w:rPr>
                <w:rFonts w:ascii="Times New Roman" w:hAnsi="Times New Roman" w:cs="Times New Roman"/>
                <w:sz w:val="20"/>
                <w:szCs w:val="20"/>
                <w:lang w:eastAsia="en-ZA"/>
              </w:rPr>
            </w:pPr>
            <w:r w:rsidRPr="00B47F53">
              <w:rPr>
                <w:rFonts w:ascii="Times New Roman" w:hAnsi="Times New Roman" w:cs="Times New Roman"/>
                <w:sz w:val="20"/>
                <w:szCs w:val="20"/>
                <w:lang w:eastAsia="en-ZA"/>
              </w:rPr>
              <w:t>-</w:t>
            </w:r>
          </w:p>
        </w:tc>
      </w:tr>
      <w:tr w:rsidR="006B795E" w:rsidRPr="00B47F53" w14:paraId="0FBE922C" w14:textId="77777777" w:rsidTr="00186E26">
        <w:trPr>
          <w:trHeight w:val="300"/>
        </w:trPr>
        <w:tc>
          <w:tcPr>
            <w:tcW w:w="419" w:type="pct"/>
            <w:tcBorders>
              <w:top w:val="nil"/>
              <w:left w:val="single" w:sz="4" w:space="0" w:color="auto"/>
              <w:bottom w:val="single" w:sz="4" w:space="0" w:color="auto"/>
              <w:right w:val="single" w:sz="4" w:space="0" w:color="auto"/>
            </w:tcBorders>
            <w:shd w:val="clear" w:color="auto" w:fill="auto"/>
            <w:noWrap/>
            <w:vAlign w:val="bottom"/>
          </w:tcPr>
          <w:p w14:paraId="15633A78" w14:textId="77777777" w:rsidR="006B795E" w:rsidRPr="00B47F53" w:rsidRDefault="006B795E" w:rsidP="00F8167B">
            <w:pPr>
              <w:spacing w:after="0"/>
              <w:rPr>
                <w:rFonts w:ascii="Times New Roman" w:eastAsia="Times New Roman" w:hAnsi="Times New Roman" w:cs="Times New Roman"/>
                <w:color w:val="000000"/>
                <w:sz w:val="20"/>
                <w:szCs w:val="20"/>
                <w:lang w:eastAsia="en-ZA"/>
              </w:rPr>
            </w:pPr>
          </w:p>
        </w:tc>
        <w:tc>
          <w:tcPr>
            <w:tcW w:w="1410" w:type="pct"/>
            <w:tcBorders>
              <w:top w:val="nil"/>
              <w:left w:val="nil"/>
              <w:bottom w:val="single" w:sz="4" w:space="0" w:color="auto"/>
              <w:right w:val="single" w:sz="4" w:space="0" w:color="auto"/>
            </w:tcBorders>
            <w:shd w:val="clear" w:color="auto" w:fill="auto"/>
            <w:noWrap/>
            <w:vAlign w:val="bottom"/>
          </w:tcPr>
          <w:p w14:paraId="1AC6C33F" w14:textId="77777777" w:rsidR="006B795E" w:rsidRPr="00B47F53" w:rsidRDefault="006B795E" w:rsidP="00F8167B">
            <w:pPr>
              <w:spacing w:after="0"/>
              <w:rPr>
                <w:rFonts w:ascii="Times New Roman" w:eastAsia="Times New Roman" w:hAnsi="Times New Roman" w:cs="Times New Roman"/>
                <w:sz w:val="20"/>
                <w:szCs w:val="20"/>
                <w:lang w:eastAsia="en-ZA"/>
              </w:rPr>
            </w:pPr>
            <w:r w:rsidRPr="00B47F53">
              <w:rPr>
                <w:rFonts w:ascii="Times New Roman" w:eastAsia="Times New Roman" w:hAnsi="Times New Roman" w:cs="Times New Roman"/>
                <w:sz w:val="20"/>
                <w:szCs w:val="20"/>
                <w:lang w:eastAsia="en-ZA"/>
              </w:rPr>
              <w:t>General Risk</w:t>
            </w:r>
          </w:p>
        </w:tc>
        <w:tc>
          <w:tcPr>
            <w:tcW w:w="952" w:type="pct"/>
            <w:tcBorders>
              <w:top w:val="nil"/>
              <w:left w:val="nil"/>
              <w:bottom w:val="single" w:sz="4" w:space="0" w:color="auto"/>
              <w:right w:val="single" w:sz="4" w:space="0" w:color="auto"/>
            </w:tcBorders>
            <w:shd w:val="clear" w:color="auto" w:fill="auto"/>
            <w:noWrap/>
            <w:vAlign w:val="bottom"/>
          </w:tcPr>
          <w:p w14:paraId="563CFD76" w14:textId="77777777" w:rsidR="006B795E" w:rsidRPr="00B47F53" w:rsidRDefault="00A8088A" w:rsidP="00A8088A">
            <w:pPr>
              <w:pStyle w:val="NoSpacing"/>
              <w:jc w:val="right"/>
              <w:rPr>
                <w:rFonts w:ascii="Times New Roman" w:hAnsi="Times New Roman" w:cs="Times New Roman"/>
                <w:sz w:val="20"/>
                <w:szCs w:val="20"/>
                <w:lang w:eastAsia="en-ZA"/>
              </w:rPr>
            </w:pPr>
            <w:r w:rsidRPr="00B47F53">
              <w:rPr>
                <w:rFonts w:ascii="Times New Roman" w:hAnsi="Times New Roman" w:cs="Times New Roman"/>
                <w:sz w:val="20"/>
                <w:szCs w:val="20"/>
                <w:lang w:eastAsia="en-ZA"/>
              </w:rPr>
              <w:t>-</w:t>
            </w:r>
          </w:p>
        </w:tc>
        <w:tc>
          <w:tcPr>
            <w:tcW w:w="1193" w:type="pct"/>
            <w:tcBorders>
              <w:top w:val="nil"/>
              <w:left w:val="nil"/>
              <w:bottom w:val="single" w:sz="4" w:space="0" w:color="auto"/>
              <w:right w:val="single" w:sz="4" w:space="0" w:color="auto"/>
            </w:tcBorders>
            <w:shd w:val="clear" w:color="auto" w:fill="auto"/>
            <w:noWrap/>
            <w:vAlign w:val="bottom"/>
          </w:tcPr>
          <w:p w14:paraId="7CD46CD5" w14:textId="1FA23E0E" w:rsidR="006B795E" w:rsidRPr="00B47F53" w:rsidRDefault="002F26D8" w:rsidP="00A8088A">
            <w:pPr>
              <w:pStyle w:val="NoSpacing"/>
              <w:jc w:val="right"/>
              <w:rPr>
                <w:rFonts w:ascii="Times New Roman" w:hAnsi="Times New Roman" w:cs="Times New Roman"/>
                <w:sz w:val="20"/>
                <w:szCs w:val="20"/>
                <w:lang w:eastAsia="en-ZA"/>
              </w:rPr>
            </w:pPr>
            <w:r>
              <w:rPr>
                <w:rFonts w:ascii="Times New Roman" w:hAnsi="Times New Roman" w:cs="Times New Roman"/>
                <w:sz w:val="20"/>
                <w:szCs w:val="20"/>
                <w:lang w:eastAsia="en-ZA"/>
              </w:rPr>
              <w:t>-</w:t>
            </w:r>
          </w:p>
        </w:tc>
        <w:tc>
          <w:tcPr>
            <w:tcW w:w="1026" w:type="pct"/>
            <w:tcBorders>
              <w:top w:val="nil"/>
              <w:left w:val="nil"/>
              <w:bottom w:val="single" w:sz="4" w:space="0" w:color="auto"/>
              <w:right w:val="single" w:sz="4" w:space="0" w:color="auto"/>
            </w:tcBorders>
            <w:shd w:val="clear" w:color="auto" w:fill="auto"/>
            <w:noWrap/>
            <w:vAlign w:val="bottom"/>
          </w:tcPr>
          <w:p w14:paraId="7C6026D4" w14:textId="77777777" w:rsidR="006B795E" w:rsidRPr="00B47F53" w:rsidRDefault="00D9410B" w:rsidP="00A8088A">
            <w:pPr>
              <w:pStyle w:val="NoSpacing"/>
              <w:jc w:val="right"/>
              <w:rPr>
                <w:rFonts w:ascii="Times New Roman" w:hAnsi="Times New Roman" w:cs="Times New Roman"/>
                <w:sz w:val="20"/>
                <w:szCs w:val="20"/>
                <w:lang w:eastAsia="en-ZA"/>
              </w:rPr>
            </w:pPr>
            <w:r w:rsidRPr="00B47F53">
              <w:rPr>
                <w:rFonts w:ascii="Times New Roman" w:hAnsi="Times New Roman" w:cs="Times New Roman"/>
                <w:sz w:val="20"/>
                <w:szCs w:val="20"/>
                <w:lang w:eastAsia="en-ZA"/>
              </w:rPr>
              <w:t>-</w:t>
            </w:r>
          </w:p>
        </w:tc>
      </w:tr>
      <w:tr w:rsidR="006B795E" w:rsidRPr="00B47F53" w14:paraId="3668A976" w14:textId="77777777" w:rsidTr="00186E26">
        <w:trPr>
          <w:trHeight w:val="300"/>
        </w:trPr>
        <w:tc>
          <w:tcPr>
            <w:tcW w:w="419" w:type="pct"/>
            <w:tcBorders>
              <w:top w:val="nil"/>
              <w:left w:val="single" w:sz="4" w:space="0" w:color="auto"/>
              <w:bottom w:val="single" w:sz="4" w:space="0" w:color="auto"/>
              <w:right w:val="single" w:sz="4" w:space="0" w:color="auto"/>
            </w:tcBorders>
            <w:shd w:val="clear" w:color="auto" w:fill="auto"/>
            <w:noWrap/>
            <w:vAlign w:val="bottom"/>
            <w:hideMark/>
          </w:tcPr>
          <w:p w14:paraId="1CFA5EE7" w14:textId="77777777" w:rsidR="006B795E" w:rsidRPr="00B47F53" w:rsidRDefault="006B795E" w:rsidP="00F8167B">
            <w:pPr>
              <w:spacing w:after="0"/>
              <w:rPr>
                <w:rFonts w:ascii="Times New Roman" w:eastAsia="Times New Roman" w:hAnsi="Times New Roman" w:cs="Times New Roman"/>
                <w:color w:val="000000"/>
                <w:sz w:val="20"/>
                <w:szCs w:val="20"/>
                <w:lang w:eastAsia="en-ZA"/>
              </w:rPr>
            </w:pPr>
            <w:r w:rsidRPr="00B47F53">
              <w:rPr>
                <w:rFonts w:ascii="Times New Roman" w:eastAsia="Times New Roman" w:hAnsi="Times New Roman" w:cs="Times New Roman"/>
                <w:color w:val="000000"/>
                <w:sz w:val="20"/>
                <w:szCs w:val="20"/>
                <w:lang w:eastAsia="en-ZA"/>
              </w:rPr>
              <w:t> </w:t>
            </w:r>
          </w:p>
        </w:tc>
        <w:tc>
          <w:tcPr>
            <w:tcW w:w="1410" w:type="pct"/>
            <w:tcBorders>
              <w:top w:val="nil"/>
              <w:left w:val="nil"/>
              <w:bottom w:val="single" w:sz="4" w:space="0" w:color="auto"/>
              <w:right w:val="single" w:sz="4" w:space="0" w:color="auto"/>
            </w:tcBorders>
            <w:shd w:val="clear" w:color="auto" w:fill="auto"/>
            <w:noWrap/>
            <w:vAlign w:val="bottom"/>
            <w:hideMark/>
          </w:tcPr>
          <w:p w14:paraId="4C17913E" w14:textId="77777777" w:rsidR="006B795E" w:rsidRPr="00B47F53" w:rsidRDefault="006B795E" w:rsidP="00F8167B">
            <w:pPr>
              <w:spacing w:after="0"/>
              <w:rPr>
                <w:rFonts w:ascii="Times New Roman" w:eastAsia="Times New Roman" w:hAnsi="Times New Roman" w:cs="Times New Roman"/>
                <w:b/>
                <w:color w:val="000000"/>
                <w:sz w:val="20"/>
                <w:szCs w:val="20"/>
                <w:lang w:eastAsia="en-ZA"/>
              </w:rPr>
            </w:pPr>
            <w:r w:rsidRPr="00B47F53">
              <w:rPr>
                <w:rFonts w:ascii="Times New Roman" w:eastAsia="Times New Roman" w:hAnsi="Times New Roman" w:cs="Times New Roman"/>
                <w:color w:val="000000"/>
                <w:sz w:val="20"/>
                <w:szCs w:val="20"/>
                <w:lang w:eastAsia="en-ZA"/>
              </w:rPr>
              <w:t> </w:t>
            </w:r>
            <w:r w:rsidRPr="00B47F53">
              <w:rPr>
                <w:rFonts w:ascii="Times New Roman" w:eastAsia="Times New Roman" w:hAnsi="Times New Roman" w:cs="Times New Roman"/>
                <w:b/>
                <w:color w:val="000000"/>
                <w:sz w:val="20"/>
                <w:szCs w:val="20"/>
                <w:lang w:eastAsia="en-ZA"/>
              </w:rPr>
              <w:t>Total Market RWA</w:t>
            </w:r>
          </w:p>
        </w:tc>
        <w:tc>
          <w:tcPr>
            <w:tcW w:w="952" w:type="pct"/>
            <w:tcBorders>
              <w:top w:val="nil"/>
              <w:left w:val="nil"/>
              <w:bottom w:val="single" w:sz="4" w:space="0" w:color="auto"/>
              <w:right w:val="single" w:sz="4" w:space="0" w:color="auto"/>
            </w:tcBorders>
            <w:shd w:val="clear" w:color="auto" w:fill="auto"/>
            <w:noWrap/>
            <w:vAlign w:val="bottom"/>
            <w:hideMark/>
          </w:tcPr>
          <w:p w14:paraId="3F2BE2BF" w14:textId="77777777" w:rsidR="006B795E" w:rsidRPr="00B47F53" w:rsidRDefault="006B795E" w:rsidP="00A8088A">
            <w:pPr>
              <w:pStyle w:val="NoSpacing"/>
              <w:jc w:val="right"/>
              <w:rPr>
                <w:rFonts w:ascii="Times New Roman" w:hAnsi="Times New Roman" w:cs="Times New Roman"/>
                <w:sz w:val="20"/>
                <w:szCs w:val="20"/>
                <w:lang w:eastAsia="en-ZA"/>
              </w:rPr>
            </w:pPr>
          </w:p>
        </w:tc>
        <w:tc>
          <w:tcPr>
            <w:tcW w:w="1193" w:type="pct"/>
            <w:tcBorders>
              <w:top w:val="nil"/>
              <w:left w:val="nil"/>
              <w:bottom w:val="single" w:sz="4" w:space="0" w:color="auto"/>
              <w:right w:val="single" w:sz="4" w:space="0" w:color="auto"/>
            </w:tcBorders>
            <w:shd w:val="clear" w:color="auto" w:fill="auto"/>
            <w:noWrap/>
            <w:vAlign w:val="bottom"/>
            <w:hideMark/>
          </w:tcPr>
          <w:p w14:paraId="11A69075" w14:textId="77777777" w:rsidR="006B795E" w:rsidRPr="00B47F53" w:rsidRDefault="006B795E" w:rsidP="00A8088A">
            <w:pPr>
              <w:pStyle w:val="NoSpacing"/>
              <w:jc w:val="right"/>
              <w:rPr>
                <w:rFonts w:ascii="Times New Roman" w:hAnsi="Times New Roman" w:cs="Times New Roman"/>
                <w:sz w:val="20"/>
                <w:szCs w:val="20"/>
                <w:lang w:eastAsia="en-ZA"/>
              </w:rPr>
            </w:pPr>
            <w:r w:rsidRPr="00B47F53">
              <w:rPr>
                <w:rFonts w:ascii="Times New Roman" w:hAnsi="Times New Roman" w:cs="Times New Roman"/>
                <w:sz w:val="20"/>
                <w:szCs w:val="20"/>
                <w:lang w:eastAsia="en-ZA"/>
              </w:rPr>
              <w:t> </w:t>
            </w:r>
          </w:p>
        </w:tc>
        <w:tc>
          <w:tcPr>
            <w:tcW w:w="1026" w:type="pct"/>
            <w:tcBorders>
              <w:top w:val="nil"/>
              <w:left w:val="nil"/>
              <w:bottom w:val="single" w:sz="4" w:space="0" w:color="auto"/>
              <w:right w:val="single" w:sz="4" w:space="0" w:color="auto"/>
            </w:tcBorders>
            <w:shd w:val="clear" w:color="auto" w:fill="auto"/>
            <w:noWrap/>
            <w:vAlign w:val="bottom"/>
            <w:hideMark/>
          </w:tcPr>
          <w:p w14:paraId="3E008E87" w14:textId="52FB08DD" w:rsidR="006B795E" w:rsidRPr="00B47F53" w:rsidRDefault="00E96E80" w:rsidP="00A8088A">
            <w:pPr>
              <w:pStyle w:val="NoSpacing"/>
              <w:jc w:val="right"/>
              <w:rPr>
                <w:rFonts w:ascii="Times New Roman" w:hAnsi="Times New Roman" w:cs="Times New Roman"/>
                <w:b/>
                <w:sz w:val="20"/>
                <w:szCs w:val="20"/>
                <w:lang w:eastAsia="en-ZA"/>
              </w:rPr>
            </w:pPr>
            <w:r w:rsidRPr="00E96E80">
              <w:rPr>
                <w:rFonts w:ascii="Times New Roman" w:hAnsi="Times New Roman" w:cs="Times New Roman"/>
                <w:b/>
                <w:sz w:val="20"/>
                <w:szCs w:val="20"/>
                <w:lang w:eastAsia="en-ZA"/>
              </w:rPr>
              <w:t>27,120</w:t>
            </w:r>
          </w:p>
        </w:tc>
      </w:tr>
    </w:tbl>
    <w:p w14:paraId="6839D43A" w14:textId="4E421721" w:rsidR="000E07A9" w:rsidRPr="00B47F53" w:rsidRDefault="000E07A9" w:rsidP="00184A9B">
      <w:pPr>
        <w:pStyle w:val="Heading1"/>
        <w:numPr>
          <w:ilvl w:val="0"/>
          <w:numId w:val="33"/>
        </w:numPr>
        <w:rPr>
          <w:rFonts w:ascii="Times New Roman" w:hAnsi="Times New Roman" w:cs="Times New Roman"/>
          <w:color w:val="auto"/>
          <w:sz w:val="20"/>
          <w:szCs w:val="20"/>
        </w:rPr>
      </w:pPr>
      <w:bookmarkStart w:id="25" w:name="_Toc100839101"/>
      <w:r w:rsidRPr="00B47F53">
        <w:rPr>
          <w:rFonts w:ascii="Times New Roman" w:hAnsi="Times New Roman" w:cs="Times New Roman"/>
          <w:color w:val="auto"/>
          <w:sz w:val="20"/>
          <w:szCs w:val="20"/>
        </w:rPr>
        <w:t>Operational risk</w:t>
      </w:r>
      <w:bookmarkEnd w:id="25"/>
    </w:p>
    <w:p w14:paraId="0D8FB666" w14:textId="77777777" w:rsidR="00A41DFB" w:rsidRPr="00B47F53" w:rsidRDefault="00A41DFB" w:rsidP="00F02282">
      <w:pPr>
        <w:spacing w:after="0"/>
        <w:rPr>
          <w:rFonts w:ascii="Times New Roman" w:hAnsi="Times New Roman" w:cs="Times New Roman"/>
          <w:b/>
          <w:sz w:val="20"/>
          <w:szCs w:val="20"/>
        </w:rPr>
      </w:pPr>
    </w:p>
    <w:p w14:paraId="5D552E29" w14:textId="77777777" w:rsidR="007E044F" w:rsidRPr="00B47F53" w:rsidRDefault="003B24FE" w:rsidP="00A41DFB">
      <w:pPr>
        <w:rPr>
          <w:rFonts w:ascii="Times New Roman" w:hAnsi="Times New Roman" w:cs="Times New Roman"/>
          <w:b/>
          <w:sz w:val="20"/>
          <w:szCs w:val="20"/>
        </w:rPr>
      </w:pPr>
      <w:r w:rsidRPr="00B47F53">
        <w:rPr>
          <w:rFonts w:ascii="Times New Roman" w:hAnsi="Times New Roman" w:cs="Times New Roman"/>
          <w:b/>
          <w:sz w:val="20"/>
          <w:szCs w:val="20"/>
        </w:rPr>
        <w:t>Table</w:t>
      </w:r>
      <w:r w:rsidR="00A41DFB" w:rsidRPr="00B47F53">
        <w:rPr>
          <w:rFonts w:ascii="Times New Roman" w:hAnsi="Times New Roman" w:cs="Times New Roman"/>
          <w:b/>
          <w:sz w:val="20"/>
          <w:szCs w:val="20"/>
        </w:rPr>
        <w:t xml:space="preserve"> 35(a): </w:t>
      </w:r>
      <w:r w:rsidR="007E044F" w:rsidRPr="00B47F53">
        <w:rPr>
          <w:rFonts w:ascii="Times New Roman" w:hAnsi="Times New Roman" w:cs="Times New Roman"/>
          <w:b/>
          <w:sz w:val="20"/>
          <w:szCs w:val="20"/>
        </w:rPr>
        <w:t>Qualitative Disclosures</w:t>
      </w:r>
    </w:p>
    <w:p w14:paraId="27D8C332" w14:textId="77777777" w:rsidR="007C7CA9" w:rsidRPr="00B47F53" w:rsidRDefault="007C7CA9" w:rsidP="00F8167B">
      <w:pPr>
        <w:ind w:left="540"/>
        <w:jc w:val="both"/>
        <w:rPr>
          <w:rFonts w:ascii="Times New Roman" w:hAnsi="Times New Roman" w:cs="Times New Roman"/>
          <w:sz w:val="20"/>
          <w:szCs w:val="20"/>
        </w:rPr>
      </w:pPr>
      <w:r w:rsidRPr="00B47F53">
        <w:rPr>
          <w:rFonts w:ascii="Times New Roman" w:hAnsi="Times New Roman" w:cs="Times New Roman"/>
          <w:sz w:val="20"/>
          <w:szCs w:val="20"/>
        </w:rPr>
        <w:t>Operational risk is the risk of direct or indirect loss arising from a wide variety of causes associated with the Bank’s processes personnel technology and infrastructure and from external factors other than credit liquidity interest rate and market risks such as those arising from legal and regulatory requirements and the requirement to observe generally accepted standards of corporate behaviour.  Operational risks arise from all of the Bank’s operations.</w:t>
      </w:r>
    </w:p>
    <w:p w14:paraId="41C52902" w14:textId="77777777" w:rsidR="007C7CA9" w:rsidRPr="00B47F53" w:rsidRDefault="007C7CA9" w:rsidP="00F8167B">
      <w:pPr>
        <w:ind w:left="540"/>
        <w:jc w:val="both"/>
        <w:rPr>
          <w:rFonts w:ascii="Times New Roman" w:hAnsi="Times New Roman" w:cs="Times New Roman"/>
          <w:sz w:val="20"/>
          <w:szCs w:val="20"/>
        </w:rPr>
      </w:pPr>
      <w:r w:rsidRPr="00B47F53">
        <w:rPr>
          <w:rFonts w:ascii="Times New Roman" w:hAnsi="Times New Roman" w:cs="Times New Roman"/>
          <w:sz w:val="20"/>
          <w:szCs w:val="20"/>
        </w:rPr>
        <w:t>The objective of the Bank is to manage operational risks so as to balance the avoidance of financial losses and damages to the Bank’s reputation with overall cost effectiveness and to avoid control procedures that restrict initiative and creativity.</w:t>
      </w:r>
    </w:p>
    <w:p w14:paraId="43C31562" w14:textId="77777777" w:rsidR="00CD45D5" w:rsidRPr="00B47F53" w:rsidRDefault="00CD45D5" w:rsidP="00A26251">
      <w:pPr>
        <w:pStyle w:val="ListParagraph"/>
        <w:numPr>
          <w:ilvl w:val="0"/>
          <w:numId w:val="8"/>
        </w:numPr>
        <w:jc w:val="both"/>
        <w:rPr>
          <w:rFonts w:ascii="Times New Roman" w:hAnsi="Times New Roman" w:cs="Times New Roman"/>
          <w:b/>
          <w:sz w:val="20"/>
          <w:szCs w:val="20"/>
        </w:rPr>
      </w:pPr>
      <w:r w:rsidRPr="00B47F53">
        <w:rPr>
          <w:rFonts w:ascii="Times New Roman" w:hAnsi="Times New Roman" w:cs="Times New Roman"/>
          <w:b/>
          <w:sz w:val="20"/>
          <w:szCs w:val="20"/>
        </w:rPr>
        <w:t>Management of Operational Risk</w:t>
      </w:r>
    </w:p>
    <w:p w14:paraId="2E181A68" w14:textId="0F0BFD14" w:rsidR="007C7CA9" w:rsidRPr="00B47F53" w:rsidRDefault="007C7CA9" w:rsidP="00F8167B">
      <w:pPr>
        <w:ind w:left="540"/>
        <w:jc w:val="both"/>
        <w:rPr>
          <w:rFonts w:ascii="Times New Roman" w:hAnsi="Times New Roman" w:cs="Times New Roman"/>
          <w:sz w:val="20"/>
          <w:szCs w:val="20"/>
        </w:rPr>
      </w:pPr>
      <w:r w:rsidRPr="00B47F53">
        <w:rPr>
          <w:rFonts w:ascii="Times New Roman" w:hAnsi="Times New Roman" w:cs="Times New Roman"/>
          <w:sz w:val="20"/>
          <w:szCs w:val="20"/>
        </w:rPr>
        <w:t xml:space="preserve">The primary responsibility for the development and implementation of controls to address operational risk is assigned to senior management within each branch. The responsibility is supported by the development of overall standards in the Bank for the management of operational risks in the following </w:t>
      </w:r>
      <w:r w:rsidR="009B5C2A" w:rsidRPr="00B47F53">
        <w:rPr>
          <w:rFonts w:ascii="Times New Roman" w:hAnsi="Times New Roman" w:cs="Times New Roman"/>
          <w:sz w:val="20"/>
          <w:szCs w:val="20"/>
        </w:rPr>
        <w:t>areas: -</w:t>
      </w:r>
    </w:p>
    <w:p w14:paraId="6DB9DE65" w14:textId="77777777" w:rsidR="007C7CA9" w:rsidRPr="00B47F53" w:rsidRDefault="007C7CA9" w:rsidP="00A26251">
      <w:pPr>
        <w:numPr>
          <w:ilvl w:val="0"/>
          <w:numId w:val="3"/>
        </w:numPr>
        <w:tabs>
          <w:tab w:val="clear" w:pos="360"/>
          <w:tab w:val="left" w:pos="900"/>
        </w:tabs>
        <w:ind w:left="900"/>
        <w:jc w:val="both"/>
        <w:rPr>
          <w:rFonts w:ascii="Times New Roman" w:hAnsi="Times New Roman" w:cs="Times New Roman"/>
          <w:sz w:val="20"/>
          <w:szCs w:val="20"/>
        </w:rPr>
      </w:pPr>
      <w:r w:rsidRPr="00B47F53">
        <w:rPr>
          <w:rFonts w:ascii="Times New Roman" w:hAnsi="Times New Roman" w:cs="Times New Roman"/>
          <w:sz w:val="20"/>
          <w:szCs w:val="20"/>
        </w:rPr>
        <w:lastRenderedPageBreak/>
        <w:t>requirements for appropriate segregation of duties including the independent authorisation of transactions</w:t>
      </w:r>
    </w:p>
    <w:p w14:paraId="0E95C7FF" w14:textId="77777777" w:rsidR="007C7CA9" w:rsidRPr="00B47F53" w:rsidRDefault="007C7CA9" w:rsidP="00A26251">
      <w:pPr>
        <w:numPr>
          <w:ilvl w:val="0"/>
          <w:numId w:val="3"/>
        </w:numPr>
        <w:tabs>
          <w:tab w:val="clear" w:pos="360"/>
          <w:tab w:val="left" w:pos="900"/>
        </w:tabs>
        <w:ind w:left="900"/>
        <w:jc w:val="both"/>
        <w:rPr>
          <w:rFonts w:ascii="Times New Roman" w:hAnsi="Times New Roman" w:cs="Times New Roman"/>
          <w:sz w:val="20"/>
          <w:szCs w:val="20"/>
        </w:rPr>
      </w:pPr>
      <w:r w:rsidRPr="00B47F53">
        <w:rPr>
          <w:rFonts w:ascii="Times New Roman" w:hAnsi="Times New Roman" w:cs="Times New Roman"/>
          <w:sz w:val="20"/>
          <w:szCs w:val="20"/>
        </w:rPr>
        <w:t>requirements for the reconciliation and monitoring of transactions</w:t>
      </w:r>
    </w:p>
    <w:p w14:paraId="23264C7E" w14:textId="77777777" w:rsidR="007C7CA9" w:rsidRPr="00B47F53" w:rsidRDefault="007C7CA9" w:rsidP="00A26251">
      <w:pPr>
        <w:numPr>
          <w:ilvl w:val="0"/>
          <w:numId w:val="3"/>
        </w:numPr>
        <w:tabs>
          <w:tab w:val="clear" w:pos="360"/>
          <w:tab w:val="left" w:pos="900"/>
        </w:tabs>
        <w:ind w:left="900"/>
        <w:jc w:val="both"/>
        <w:rPr>
          <w:rFonts w:ascii="Times New Roman" w:hAnsi="Times New Roman" w:cs="Times New Roman"/>
          <w:sz w:val="20"/>
          <w:szCs w:val="20"/>
        </w:rPr>
      </w:pPr>
      <w:r w:rsidRPr="00B47F53">
        <w:rPr>
          <w:rFonts w:ascii="Times New Roman" w:hAnsi="Times New Roman" w:cs="Times New Roman"/>
          <w:sz w:val="20"/>
          <w:szCs w:val="20"/>
        </w:rPr>
        <w:t>compliance with regulatory and other legal requirements</w:t>
      </w:r>
    </w:p>
    <w:p w14:paraId="0F5142DC" w14:textId="77777777" w:rsidR="007C7CA9" w:rsidRPr="00B47F53" w:rsidRDefault="007C7CA9" w:rsidP="00A26251">
      <w:pPr>
        <w:numPr>
          <w:ilvl w:val="0"/>
          <w:numId w:val="3"/>
        </w:numPr>
        <w:tabs>
          <w:tab w:val="clear" w:pos="360"/>
          <w:tab w:val="left" w:pos="900"/>
        </w:tabs>
        <w:ind w:left="900"/>
        <w:jc w:val="both"/>
        <w:rPr>
          <w:rFonts w:ascii="Times New Roman" w:hAnsi="Times New Roman" w:cs="Times New Roman"/>
          <w:sz w:val="20"/>
          <w:szCs w:val="20"/>
        </w:rPr>
      </w:pPr>
      <w:r w:rsidRPr="00B47F53">
        <w:rPr>
          <w:rFonts w:ascii="Times New Roman" w:hAnsi="Times New Roman" w:cs="Times New Roman"/>
          <w:sz w:val="20"/>
          <w:szCs w:val="20"/>
        </w:rPr>
        <w:t>documentation of controls and procedures</w:t>
      </w:r>
    </w:p>
    <w:p w14:paraId="3B7EB788" w14:textId="77777777" w:rsidR="007C7CA9" w:rsidRPr="00B47F53" w:rsidRDefault="007C7CA9" w:rsidP="00A26251">
      <w:pPr>
        <w:numPr>
          <w:ilvl w:val="0"/>
          <w:numId w:val="3"/>
        </w:numPr>
        <w:tabs>
          <w:tab w:val="clear" w:pos="360"/>
          <w:tab w:val="left" w:pos="900"/>
        </w:tabs>
        <w:ind w:left="900"/>
        <w:jc w:val="both"/>
        <w:rPr>
          <w:rFonts w:ascii="Times New Roman" w:hAnsi="Times New Roman" w:cs="Times New Roman"/>
          <w:sz w:val="20"/>
          <w:szCs w:val="20"/>
        </w:rPr>
      </w:pPr>
      <w:r w:rsidRPr="00B47F53">
        <w:rPr>
          <w:rFonts w:ascii="Times New Roman" w:hAnsi="Times New Roman" w:cs="Times New Roman"/>
          <w:sz w:val="20"/>
          <w:szCs w:val="20"/>
        </w:rPr>
        <w:t>requirements for the periodic assessment of operational risks faced and the adequacy of controls and procedures to address the risks identified</w:t>
      </w:r>
    </w:p>
    <w:p w14:paraId="0753AC6F" w14:textId="77777777" w:rsidR="007C7CA9" w:rsidRPr="00B47F53" w:rsidRDefault="007C7CA9" w:rsidP="00A26251">
      <w:pPr>
        <w:numPr>
          <w:ilvl w:val="0"/>
          <w:numId w:val="3"/>
        </w:numPr>
        <w:tabs>
          <w:tab w:val="clear" w:pos="360"/>
          <w:tab w:val="left" w:pos="900"/>
        </w:tabs>
        <w:ind w:left="900"/>
        <w:jc w:val="both"/>
        <w:rPr>
          <w:rFonts w:ascii="Times New Roman" w:hAnsi="Times New Roman" w:cs="Times New Roman"/>
          <w:sz w:val="20"/>
          <w:szCs w:val="20"/>
        </w:rPr>
      </w:pPr>
      <w:r w:rsidRPr="00B47F53">
        <w:rPr>
          <w:rFonts w:ascii="Times New Roman" w:hAnsi="Times New Roman" w:cs="Times New Roman"/>
          <w:sz w:val="20"/>
          <w:szCs w:val="20"/>
        </w:rPr>
        <w:t>requirements for the reporting of operational losses and proposed remedial action</w:t>
      </w:r>
    </w:p>
    <w:p w14:paraId="300AD180" w14:textId="77777777" w:rsidR="007C7CA9" w:rsidRPr="00B47F53" w:rsidRDefault="007C7CA9" w:rsidP="00A26251">
      <w:pPr>
        <w:numPr>
          <w:ilvl w:val="0"/>
          <w:numId w:val="3"/>
        </w:numPr>
        <w:tabs>
          <w:tab w:val="clear" w:pos="360"/>
          <w:tab w:val="left" w:pos="900"/>
        </w:tabs>
        <w:ind w:left="900"/>
        <w:jc w:val="both"/>
        <w:rPr>
          <w:rFonts w:ascii="Times New Roman" w:hAnsi="Times New Roman" w:cs="Times New Roman"/>
          <w:sz w:val="20"/>
          <w:szCs w:val="20"/>
        </w:rPr>
      </w:pPr>
      <w:r w:rsidRPr="00B47F53">
        <w:rPr>
          <w:rFonts w:ascii="Times New Roman" w:hAnsi="Times New Roman" w:cs="Times New Roman"/>
          <w:sz w:val="20"/>
          <w:szCs w:val="20"/>
        </w:rPr>
        <w:t>development of contingency plans</w:t>
      </w:r>
    </w:p>
    <w:p w14:paraId="2A13F7AA" w14:textId="77777777" w:rsidR="007C7CA9" w:rsidRPr="00B47F53" w:rsidRDefault="007C7CA9" w:rsidP="00A26251">
      <w:pPr>
        <w:numPr>
          <w:ilvl w:val="0"/>
          <w:numId w:val="3"/>
        </w:numPr>
        <w:tabs>
          <w:tab w:val="clear" w:pos="360"/>
          <w:tab w:val="left" w:pos="900"/>
        </w:tabs>
        <w:ind w:left="900"/>
        <w:jc w:val="both"/>
        <w:rPr>
          <w:rFonts w:ascii="Times New Roman" w:hAnsi="Times New Roman" w:cs="Times New Roman"/>
          <w:sz w:val="20"/>
          <w:szCs w:val="20"/>
        </w:rPr>
      </w:pPr>
      <w:r w:rsidRPr="00B47F53">
        <w:rPr>
          <w:rFonts w:ascii="Times New Roman" w:hAnsi="Times New Roman" w:cs="Times New Roman"/>
          <w:sz w:val="20"/>
          <w:szCs w:val="20"/>
        </w:rPr>
        <w:t>training and professional development</w:t>
      </w:r>
    </w:p>
    <w:p w14:paraId="5B10F844" w14:textId="77777777" w:rsidR="007C7CA9" w:rsidRPr="00B47F53" w:rsidRDefault="007C7CA9" w:rsidP="00A26251">
      <w:pPr>
        <w:numPr>
          <w:ilvl w:val="0"/>
          <w:numId w:val="3"/>
        </w:numPr>
        <w:tabs>
          <w:tab w:val="clear" w:pos="360"/>
          <w:tab w:val="left" w:pos="900"/>
        </w:tabs>
        <w:ind w:left="900"/>
        <w:jc w:val="both"/>
        <w:rPr>
          <w:rFonts w:ascii="Times New Roman" w:hAnsi="Times New Roman" w:cs="Times New Roman"/>
          <w:sz w:val="20"/>
          <w:szCs w:val="20"/>
        </w:rPr>
      </w:pPr>
      <w:r w:rsidRPr="00B47F53">
        <w:rPr>
          <w:rFonts w:ascii="Times New Roman" w:hAnsi="Times New Roman" w:cs="Times New Roman"/>
          <w:sz w:val="20"/>
          <w:szCs w:val="20"/>
        </w:rPr>
        <w:t>ethical and business standards</w:t>
      </w:r>
    </w:p>
    <w:p w14:paraId="35113BCB" w14:textId="77777777" w:rsidR="0094377F" w:rsidRPr="00B47F53" w:rsidRDefault="007C7CA9" w:rsidP="00F8167B">
      <w:pPr>
        <w:jc w:val="both"/>
        <w:rPr>
          <w:rFonts w:ascii="Times New Roman" w:hAnsi="Times New Roman" w:cs="Times New Roman"/>
          <w:sz w:val="20"/>
          <w:szCs w:val="20"/>
        </w:rPr>
      </w:pPr>
      <w:r w:rsidRPr="00B47F53">
        <w:rPr>
          <w:rFonts w:ascii="Times New Roman" w:hAnsi="Times New Roman" w:cs="Times New Roman"/>
          <w:sz w:val="20"/>
          <w:szCs w:val="20"/>
        </w:rPr>
        <w:t>Compliance with group standards is supported by a programme of periodic reviews undertaken by Group Internal Audit. The results of Internal Audit reviews are discussed with management of the business unit to which they relate with summaries su</w:t>
      </w:r>
      <w:r w:rsidR="003B24FE" w:rsidRPr="00B47F53">
        <w:rPr>
          <w:rFonts w:ascii="Times New Roman" w:hAnsi="Times New Roman" w:cs="Times New Roman"/>
          <w:sz w:val="20"/>
          <w:szCs w:val="20"/>
        </w:rPr>
        <w:t>bmitted to the Audit Committee.</w:t>
      </w:r>
    </w:p>
    <w:p w14:paraId="712FB495" w14:textId="77777777" w:rsidR="0094377F" w:rsidRPr="00B47F53" w:rsidRDefault="0094377F" w:rsidP="00F8167B">
      <w:pPr>
        <w:pStyle w:val="Default"/>
        <w:spacing w:line="276" w:lineRule="auto"/>
        <w:jc w:val="both"/>
        <w:rPr>
          <w:sz w:val="20"/>
          <w:szCs w:val="20"/>
        </w:rPr>
      </w:pPr>
      <w:r w:rsidRPr="00B47F53">
        <w:rPr>
          <w:sz w:val="20"/>
          <w:szCs w:val="20"/>
        </w:rPr>
        <w:t xml:space="preserve">An independent Risk and Compliance function conducts ad-hoc risk assessments on premises products and processes and reports the findings to business units or respective departments and the </w:t>
      </w:r>
      <w:r w:rsidR="00643B61" w:rsidRPr="00B47F53">
        <w:rPr>
          <w:sz w:val="20"/>
          <w:szCs w:val="20"/>
        </w:rPr>
        <w:t>Chief Executive Officer</w:t>
      </w:r>
      <w:r w:rsidRPr="00B47F53">
        <w:rPr>
          <w:sz w:val="20"/>
          <w:szCs w:val="20"/>
        </w:rPr>
        <w:t xml:space="preserve">. It conducts operational risk assessments as part of the bank-wide risk assessments and reports to the </w:t>
      </w:r>
      <w:r w:rsidR="00643B61" w:rsidRPr="00B47F53">
        <w:rPr>
          <w:sz w:val="20"/>
          <w:szCs w:val="20"/>
        </w:rPr>
        <w:t xml:space="preserve">Chief Executive Officer </w:t>
      </w:r>
      <w:r w:rsidRPr="00B47F53">
        <w:rPr>
          <w:sz w:val="20"/>
          <w:szCs w:val="20"/>
        </w:rPr>
        <w:t xml:space="preserve">and the Risk Committee on quarterly basis. </w:t>
      </w:r>
    </w:p>
    <w:p w14:paraId="4E2FB02A" w14:textId="57DF657F" w:rsidR="00943ECF" w:rsidRPr="00B47F53" w:rsidRDefault="00643B61" w:rsidP="00F8167B">
      <w:pPr>
        <w:pStyle w:val="Default"/>
        <w:spacing w:line="276" w:lineRule="auto"/>
        <w:jc w:val="both"/>
        <w:rPr>
          <w:sz w:val="20"/>
          <w:szCs w:val="20"/>
        </w:rPr>
      </w:pPr>
      <w:r w:rsidRPr="00B47F53">
        <w:rPr>
          <w:sz w:val="20"/>
          <w:szCs w:val="20"/>
        </w:rPr>
        <w:t>The Bank</w:t>
      </w:r>
      <w:r w:rsidR="0094377F" w:rsidRPr="00B47F53">
        <w:rPr>
          <w:sz w:val="20"/>
          <w:szCs w:val="20"/>
        </w:rPr>
        <w:t xml:space="preserve"> has an operational risk management framework which gives guidelines on how to identify assess monitor and control/mitigate operational risk. In </w:t>
      </w:r>
      <w:r w:rsidR="009B5C2A" w:rsidRPr="00B47F53">
        <w:rPr>
          <w:sz w:val="20"/>
          <w:szCs w:val="20"/>
        </w:rPr>
        <w:t>addition,</w:t>
      </w:r>
      <w:r w:rsidR="0094377F" w:rsidRPr="00B47F53">
        <w:rPr>
          <w:sz w:val="20"/>
          <w:szCs w:val="20"/>
        </w:rPr>
        <w:t xml:space="preserve"> there are policies and procedures on operational risk management that are aligned to the overall business strategy and supports continuous improvement of overall risk management in the</w:t>
      </w:r>
      <w:r w:rsidR="00D357C4" w:rsidRPr="00B47F53">
        <w:rPr>
          <w:sz w:val="20"/>
          <w:szCs w:val="20"/>
        </w:rPr>
        <w:t xml:space="preserve"> Bank</w:t>
      </w:r>
      <w:r w:rsidR="0094377F" w:rsidRPr="00B47F53">
        <w:rPr>
          <w:sz w:val="20"/>
          <w:szCs w:val="20"/>
        </w:rPr>
        <w:t>.</w:t>
      </w:r>
    </w:p>
    <w:p w14:paraId="0436714C" w14:textId="77777777" w:rsidR="00186E26" w:rsidRDefault="00186E26" w:rsidP="00A41DFB">
      <w:pPr>
        <w:pStyle w:val="Default"/>
        <w:spacing w:line="276" w:lineRule="auto"/>
        <w:jc w:val="both"/>
        <w:rPr>
          <w:b/>
          <w:sz w:val="20"/>
          <w:szCs w:val="20"/>
        </w:rPr>
      </w:pPr>
    </w:p>
    <w:p w14:paraId="043BEAF2" w14:textId="7C19C8BA" w:rsidR="003B24FE" w:rsidRPr="00B47F53" w:rsidRDefault="00A41DFB" w:rsidP="00A41DFB">
      <w:pPr>
        <w:pStyle w:val="Default"/>
        <w:spacing w:line="276" w:lineRule="auto"/>
        <w:jc w:val="both"/>
        <w:rPr>
          <w:b/>
          <w:sz w:val="20"/>
          <w:szCs w:val="20"/>
        </w:rPr>
      </w:pPr>
      <w:r w:rsidRPr="00B47F53">
        <w:rPr>
          <w:b/>
          <w:sz w:val="20"/>
          <w:szCs w:val="20"/>
        </w:rPr>
        <w:t xml:space="preserve">Table 35 (b): </w:t>
      </w:r>
      <w:r w:rsidR="003B24FE" w:rsidRPr="00B47F53">
        <w:rPr>
          <w:b/>
          <w:sz w:val="20"/>
          <w:szCs w:val="20"/>
        </w:rPr>
        <w:t>Quantitative Disclosures</w:t>
      </w:r>
    </w:p>
    <w:p w14:paraId="09B0EC48" w14:textId="77777777" w:rsidR="003B24FE" w:rsidRPr="00B47F53" w:rsidRDefault="003B24FE" w:rsidP="00F8167B">
      <w:pPr>
        <w:pStyle w:val="Default"/>
        <w:spacing w:line="276" w:lineRule="auto"/>
        <w:ind w:left="720"/>
        <w:jc w:val="both"/>
        <w:rPr>
          <w:sz w:val="20"/>
          <w:szCs w:val="20"/>
        </w:rPr>
      </w:pPr>
    </w:p>
    <w:p w14:paraId="636539A1" w14:textId="6367B11A" w:rsidR="00CD5BAC" w:rsidRPr="00B47F53" w:rsidRDefault="007E044F" w:rsidP="00F8167B">
      <w:pPr>
        <w:pStyle w:val="Default"/>
        <w:spacing w:line="276" w:lineRule="auto"/>
        <w:jc w:val="both"/>
        <w:rPr>
          <w:sz w:val="20"/>
          <w:szCs w:val="20"/>
        </w:rPr>
      </w:pPr>
      <w:r w:rsidRPr="00B47F53">
        <w:rPr>
          <w:sz w:val="20"/>
          <w:szCs w:val="20"/>
        </w:rPr>
        <w:t xml:space="preserve">For Operational Risk capital </w:t>
      </w:r>
      <w:r w:rsidR="009B5C2A" w:rsidRPr="00B47F53">
        <w:rPr>
          <w:sz w:val="20"/>
          <w:szCs w:val="20"/>
        </w:rPr>
        <w:t>requirement,</w:t>
      </w:r>
      <w:r w:rsidRPr="00B47F53">
        <w:rPr>
          <w:sz w:val="20"/>
          <w:szCs w:val="20"/>
        </w:rPr>
        <w:t xml:space="preserve"> the bank uses the Basic Indicator Approach (BIA).</w:t>
      </w:r>
      <w:r w:rsidR="003B24FE" w:rsidRPr="00B47F53">
        <w:rPr>
          <w:sz w:val="20"/>
          <w:szCs w:val="20"/>
        </w:rPr>
        <w:t xml:space="preserve"> </w:t>
      </w:r>
    </w:p>
    <w:p w14:paraId="3D60CD86" w14:textId="41DDE08B" w:rsidR="000B47C3" w:rsidRDefault="006B3818" w:rsidP="00BE0DB8">
      <w:pPr>
        <w:pStyle w:val="Default"/>
        <w:spacing w:line="276" w:lineRule="auto"/>
        <w:jc w:val="both"/>
        <w:rPr>
          <w:rStyle w:val="A5"/>
          <w:rFonts w:cs="Times New Roman"/>
          <w:sz w:val="20"/>
          <w:szCs w:val="20"/>
        </w:rPr>
      </w:pPr>
      <w:r w:rsidRPr="00B47F53">
        <w:rPr>
          <w:rStyle w:val="A5"/>
          <w:rFonts w:cs="Times New Roman"/>
          <w:sz w:val="20"/>
          <w:szCs w:val="20"/>
        </w:rPr>
        <w:t>Under</w:t>
      </w:r>
      <w:r w:rsidR="00930F3D" w:rsidRPr="00B47F53">
        <w:rPr>
          <w:rStyle w:val="A5"/>
          <w:rFonts w:cs="Times New Roman"/>
          <w:sz w:val="20"/>
          <w:szCs w:val="20"/>
        </w:rPr>
        <w:t xml:space="preserve"> the Basic Indicator Approach (BIA)</w:t>
      </w:r>
      <w:r w:rsidRPr="00B47F53">
        <w:rPr>
          <w:rStyle w:val="A5"/>
          <w:rFonts w:cs="Times New Roman"/>
          <w:sz w:val="20"/>
          <w:szCs w:val="20"/>
        </w:rPr>
        <w:t xml:space="preserve"> t</w:t>
      </w:r>
      <w:r w:rsidR="00930F3D" w:rsidRPr="00B47F53">
        <w:rPr>
          <w:rStyle w:val="A5"/>
          <w:rFonts w:cs="Times New Roman"/>
          <w:sz w:val="20"/>
          <w:szCs w:val="20"/>
        </w:rPr>
        <w:t xml:space="preserve">he regulatory operational risk capital charge risk is equal to 15% of the average of the previous three years bank’s positive annual gross income. The </w:t>
      </w:r>
      <w:r w:rsidR="009B5C2A" w:rsidRPr="00B47F53">
        <w:rPr>
          <w:rStyle w:val="A5"/>
          <w:rFonts w:cs="Times New Roman"/>
          <w:sz w:val="20"/>
          <w:szCs w:val="20"/>
        </w:rPr>
        <w:t>three-year</w:t>
      </w:r>
      <w:r w:rsidR="00930F3D" w:rsidRPr="00B47F53">
        <w:rPr>
          <w:rStyle w:val="A5"/>
          <w:rFonts w:cs="Times New Roman"/>
          <w:sz w:val="20"/>
          <w:szCs w:val="20"/>
        </w:rPr>
        <w:t xml:space="preserve"> average gross income is calculated on the basis of the last three 12 month’s monthly observations at the end of the financial year.</w:t>
      </w:r>
    </w:p>
    <w:p w14:paraId="5B5EB59F" w14:textId="30BD7274" w:rsidR="00005B3C" w:rsidRPr="00005B3C" w:rsidRDefault="00005B3C" w:rsidP="00005B3C">
      <w:pPr>
        <w:pStyle w:val="Heading1"/>
        <w:numPr>
          <w:ilvl w:val="0"/>
          <w:numId w:val="1"/>
        </w:numPr>
        <w:ind w:hanging="360"/>
        <w:rPr>
          <w:rFonts w:ascii="Times New Roman" w:hAnsi="Times New Roman" w:cs="Times New Roman"/>
          <w:color w:val="auto"/>
          <w:sz w:val="20"/>
          <w:szCs w:val="20"/>
        </w:rPr>
      </w:pPr>
      <w:bookmarkStart w:id="26" w:name="_Toc519241605"/>
      <w:bookmarkStart w:id="27" w:name="_Toc100839102"/>
      <w:r w:rsidRPr="00005B3C">
        <w:rPr>
          <w:rFonts w:ascii="Times New Roman" w:hAnsi="Times New Roman" w:cs="Times New Roman"/>
          <w:color w:val="auto"/>
          <w:sz w:val="20"/>
          <w:szCs w:val="20"/>
        </w:rPr>
        <w:t>Remuneration</w:t>
      </w:r>
      <w:bookmarkEnd w:id="26"/>
      <w:bookmarkEnd w:id="27"/>
      <w:r w:rsidRPr="00005B3C">
        <w:rPr>
          <w:rFonts w:ascii="Times New Roman" w:hAnsi="Times New Roman" w:cs="Times New Roman"/>
          <w:color w:val="auto"/>
          <w:sz w:val="20"/>
          <w:szCs w:val="20"/>
        </w:rPr>
        <w:t xml:space="preserve"> </w:t>
      </w:r>
    </w:p>
    <w:p w14:paraId="5B6A89F3" w14:textId="77777777" w:rsidR="00005B3C" w:rsidRPr="003A15F2" w:rsidRDefault="00005B3C" w:rsidP="00005B3C">
      <w:pPr>
        <w:spacing w:after="0"/>
        <w:rPr>
          <w:rFonts w:ascii="Times New Roman" w:hAnsi="Times New Roman" w:cs="Times New Roman"/>
          <w:b/>
          <w:sz w:val="20"/>
          <w:szCs w:val="20"/>
        </w:rPr>
      </w:pPr>
    </w:p>
    <w:p w14:paraId="213B0C6A" w14:textId="77777777" w:rsidR="00005B3C" w:rsidRPr="003A15F2" w:rsidRDefault="00005B3C" w:rsidP="00005B3C">
      <w:pPr>
        <w:pStyle w:val="ListParagraph"/>
        <w:numPr>
          <w:ilvl w:val="0"/>
          <w:numId w:val="26"/>
        </w:numPr>
        <w:spacing w:after="0"/>
        <w:rPr>
          <w:rFonts w:ascii="Times New Roman" w:hAnsi="Times New Roman" w:cs="Times New Roman"/>
          <w:b/>
          <w:sz w:val="20"/>
          <w:szCs w:val="20"/>
        </w:rPr>
      </w:pPr>
      <w:r w:rsidRPr="003A15F2">
        <w:rPr>
          <w:rFonts w:ascii="Times New Roman" w:hAnsi="Times New Roman" w:cs="Times New Roman"/>
          <w:b/>
          <w:sz w:val="20"/>
          <w:szCs w:val="20"/>
        </w:rPr>
        <w:t>Qualitative Disclosures</w:t>
      </w:r>
    </w:p>
    <w:p w14:paraId="71580FE1" w14:textId="77777777" w:rsidR="00005B3C" w:rsidRPr="003A15F2" w:rsidRDefault="00005B3C" w:rsidP="00005B3C">
      <w:pPr>
        <w:pStyle w:val="ListParagraph"/>
        <w:spacing w:after="0"/>
        <w:ind w:left="360"/>
        <w:rPr>
          <w:rFonts w:ascii="Times New Roman" w:hAnsi="Times New Roman" w:cs="Times New Roman"/>
          <w:b/>
          <w:sz w:val="20"/>
          <w:szCs w:val="20"/>
        </w:rPr>
      </w:pPr>
    </w:p>
    <w:p w14:paraId="48D889E2" w14:textId="77777777" w:rsidR="005369A2" w:rsidRPr="003A15F2" w:rsidRDefault="005369A2" w:rsidP="005369A2">
      <w:pPr>
        <w:pStyle w:val="ListParagraph"/>
        <w:numPr>
          <w:ilvl w:val="0"/>
          <w:numId w:val="27"/>
        </w:numPr>
        <w:spacing w:after="0"/>
        <w:rPr>
          <w:rFonts w:ascii="Times New Roman" w:hAnsi="Times New Roman" w:cs="Times New Roman"/>
          <w:b/>
          <w:sz w:val="20"/>
          <w:szCs w:val="20"/>
        </w:rPr>
      </w:pPr>
      <w:r w:rsidRPr="003A15F2">
        <w:rPr>
          <w:rFonts w:ascii="Times New Roman" w:hAnsi="Times New Roman" w:cs="Times New Roman"/>
          <w:b/>
          <w:sz w:val="20"/>
          <w:szCs w:val="20"/>
        </w:rPr>
        <w:t>Overseeing Body</w:t>
      </w:r>
    </w:p>
    <w:p w14:paraId="362E7BBE" w14:textId="77777777" w:rsidR="005369A2" w:rsidRPr="003A15F2" w:rsidRDefault="005369A2" w:rsidP="005369A2">
      <w:pPr>
        <w:spacing w:after="0"/>
        <w:rPr>
          <w:rFonts w:ascii="Times New Roman" w:hAnsi="Times New Roman" w:cs="Times New Roman"/>
          <w:sz w:val="20"/>
          <w:szCs w:val="20"/>
        </w:rPr>
      </w:pPr>
    </w:p>
    <w:p w14:paraId="304DFD4B" w14:textId="77777777" w:rsidR="005369A2" w:rsidRPr="003A15F2" w:rsidRDefault="005369A2" w:rsidP="005369A2">
      <w:pPr>
        <w:spacing w:after="0"/>
        <w:rPr>
          <w:rFonts w:ascii="Times New Roman" w:hAnsi="Times New Roman" w:cs="Times New Roman"/>
          <w:sz w:val="20"/>
          <w:szCs w:val="20"/>
        </w:rPr>
      </w:pPr>
      <w:r w:rsidRPr="003A15F2">
        <w:rPr>
          <w:rFonts w:ascii="Times New Roman" w:hAnsi="Times New Roman" w:cs="Times New Roman"/>
          <w:sz w:val="20"/>
          <w:szCs w:val="20"/>
        </w:rPr>
        <w:t>The newly established Appointment and Remuneration Board Committee is the overseeing body for remuneration decisions within First Capital Bank. The committee has the following functions:</w:t>
      </w:r>
    </w:p>
    <w:p w14:paraId="3AFAF4D9" w14:textId="77777777" w:rsidR="005369A2" w:rsidRPr="003A15F2" w:rsidRDefault="005369A2" w:rsidP="005369A2">
      <w:pPr>
        <w:spacing w:line="240" w:lineRule="auto"/>
        <w:ind w:left="567" w:hanging="567"/>
        <w:jc w:val="both"/>
        <w:rPr>
          <w:rFonts w:ascii="Times New Roman" w:hAnsi="Times New Roman" w:cs="Times New Roman"/>
          <w:b/>
          <w:sz w:val="20"/>
          <w:szCs w:val="20"/>
        </w:rPr>
      </w:pPr>
      <w:r w:rsidRPr="003A15F2">
        <w:rPr>
          <w:rFonts w:ascii="Times New Roman" w:hAnsi="Times New Roman" w:cs="Times New Roman"/>
          <w:b/>
          <w:sz w:val="20"/>
          <w:szCs w:val="20"/>
        </w:rPr>
        <w:tab/>
        <w:t xml:space="preserve"> </w:t>
      </w:r>
    </w:p>
    <w:p w14:paraId="488FF110" w14:textId="77777777" w:rsidR="005369A2" w:rsidRPr="003A15F2" w:rsidRDefault="005369A2" w:rsidP="005369A2">
      <w:pPr>
        <w:pStyle w:val="ListParagraph"/>
        <w:numPr>
          <w:ilvl w:val="0"/>
          <w:numId w:val="13"/>
        </w:numPr>
        <w:spacing w:after="0" w:line="240" w:lineRule="auto"/>
        <w:jc w:val="both"/>
        <w:rPr>
          <w:rFonts w:ascii="Times New Roman" w:hAnsi="Times New Roman" w:cs="Times New Roman"/>
          <w:sz w:val="20"/>
          <w:szCs w:val="20"/>
        </w:rPr>
      </w:pPr>
      <w:r w:rsidRPr="003A15F2">
        <w:rPr>
          <w:rFonts w:ascii="Times New Roman" w:hAnsi="Times New Roman" w:cs="Times New Roman"/>
          <w:sz w:val="20"/>
          <w:szCs w:val="20"/>
        </w:rPr>
        <w:t xml:space="preserve">To determine remuneration structures for executive directors and senior executive officers of the Bank and to review these annually. </w:t>
      </w:r>
    </w:p>
    <w:p w14:paraId="551FD08C" w14:textId="77777777" w:rsidR="005369A2" w:rsidRPr="003A15F2" w:rsidRDefault="005369A2" w:rsidP="005369A2">
      <w:pPr>
        <w:pStyle w:val="ListParagraph"/>
        <w:numPr>
          <w:ilvl w:val="0"/>
          <w:numId w:val="13"/>
        </w:numPr>
        <w:spacing w:after="0" w:line="240" w:lineRule="auto"/>
        <w:jc w:val="both"/>
        <w:rPr>
          <w:rFonts w:ascii="Times New Roman" w:hAnsi="Times New Roman" w:cs="Times New Roman"/>
          <w:sz w:val="20"/>
          <w:szCs w:val="20"/>
        </w:rPr>
      </w:pPr>
      <w:r w:rsidRPr="003A15F2">
        <w:rPr>
          <w:rFonts w:ascii="Times New Roman" w:hAnsi="Times New Roman" w:cs="Times New Roman"/>
          <w:sz w:val="20"/>
          <w:szCs w:val="20"/>
        </w:rPr>
        <w:t xml:space="preserve">To ensure that directors receive commensurate market related remuneration subject to the concept of capacity to pay. </w:t>
      </w:r>
    </w:p>
    <w:p w14:paraId="40906D9D" w14:textId="77777777" w:rsidR="005369A2" w:rsidRPr="003A15F2" w:rsidRDefault="005369A2" w:rsidP="005369A2">
      <w:pPr>
        <w:pStyle w:val="ListParagraph"/>
        <w:numPr>
          <w:ilvl w:val="0"/>
          <w:numId w:val="13"/>
        </w:numPr>
        <w:spacing w:after="0" w:line="240" w:lineRule="auto"/>
        <w:jc w:val="both"/>
        <w:rPr>
          <w:rFonts w:ascii="Times New Roman" w:hAnsi="Times New Roman" w:cs="Times New Roman"/>
          <w:sz w:val="20"/>
          <w:szCs w:val="20"/>
        </w:rPr>
      </w:pPr>
      <w:r w:rsidRPr="003A15F2">
        <w:rPr>
          <w:rFonts w:ascii="Times New Roman" w:hAnsi="Times New Roman" w:cs="Times New Roman"/>
          <w:sz w:val="20"/>
          <w:szCs w:val="20"/>
        </w:rPr>
        <w:lastRenderedPageBreak/>
        <w:t>To review and approve recommendations on employee remuneration framework and parameters.</w:t>
      </w:r>
    </w:p>
    <w:p w14:paraId="7FCA094E" w14:textId="77777777" w:rsidR="005369A2" w:rsidRPr="003A15F2" w:rsidRDefault="005369A2" w:rsidP="005369A2">
      <w:pPr>
        <w:pStyle w:val="ListParagraph"/>
        <w:numPr>
          <w:ilvl w:val="0"/>
          <w:numId w:val="13"/>
        </w:numPr>
        <w:spacing w:after="0" w:line="240" w:lineRule="auto"/>
        <w:jc w:val="both"/>
        <w:rPr>
          <w:rFonts w:ascii="Times New Roman" w:hAnsi="Times New Roman" w:cs="Times New Roman"/>
          <w:sz w:val="20"/>
          <w:szCs w:val="20"/>
        </w:rPr>
      </w:pPr>
      <w:r w:rsidRPr="003A15F2">
        <w:rPr>
          <w:rFonts w:ascii="Times New Roman" w:hAnsi="Times New Roman" w:cs="Times New Roman"/>
          <w:sz w:val="20"/>
          <w:szCs w:val="20"/>
        </w:rPr>
        <w:t>Evaluate the performance of the senior executive management in light of their annually set goals and targets and set each Executive’s performance related reward based on such evaluation</w:t>
      </w:r>
    </w:p>
    <w:p w14:paraId="04D3FD69" w14:textId="77777777" w:rsidR="005369A2" w:rsidRPr="003A15F2" w:rsidRDefault="005369A2" w:rsidP="005369A2">
      <w:pPr>
        <w:pStyle w:val="ListParagraph"/>
        <w:numPr>
          <w:ilvl w:val="0"/>
          <w:numId w:val="13"/>
        </w:numPr>
        <w:spacing w:after="0" w:line="240" w:lineRule="auto"/>
        <w:jc w:val="both"/>
        <w:rPr>
          <w:rFonts w:ascii="Times New Roman" w:hAnsi="Times New Roman" w:cs="Times New Roman"/>
          <w:sz w:val="20"/>
          <w:szCs w:val="20"/>
        </w:rPr>
      </w:pPr>
      <w:r w:rsidRPr="003A15F2">
        <w:rPr>
          <w:rFonts w:ascii="Times New Roman" w:hAnsi="Times New Roman" w:cs="Times New Roman"/>
          <w:sz w:val="20"/>
          <w:szCs w:val="20"/>
        </w:rPr>
        <w:t xml:space="preserve">Oversee the establishment of the remuneration policy that will promote the achievement of strategic objectives and encourage individual performance </w:t>
      </w:r>
    </w:p>
    <w:p w14:paraId="53AD5339" w14:textId="77777777" w:rsidR="005369A2" w:rsidRPr="003A15F2" w:rsidRDefault="005369A2" w:rsidP="005369A2">
      <w:pPr>
        <w:pStyle w:val="ListParagraph"/>
        <w:numPr>
          <w:ilvl w:val="0"/>
          <w:numId w:val="13"/>
        </w:numPr>
        <w:spacing w:after="0" w:line="240" w:lineRule="auto"/>
        <w:jc w:val="both"/>
        <w:rPr>
          <w:rFonts w:ascii="Times New Roman" w:hAnsi="Times New Roman" w:cs="Times New Roman"/>
          <w:sz w:val="20"/>
          <w:szCs w:val="20"/>
        </w:rPr>
      </w:pPr>
      <w:r w:rsidRPr="003A15F2">
        <w:rPr>
          <w:rFonts w:ascii="Times New Roman" w:hAnsi="Times New Roman" w:cs="Times New Roman"/>
          <w:sz w:val="20"/>
          <w:szCs w:val="20"/>
        </w:rPr>
        <w:t>Oversee and review all aspects of any share option scheme or share based payments operated by or to be established by the Company, including but not limited to:</w:t>
      </w:r>
    </w:p>
    <w:p w14:paraId="3B5EA6BF" w14:textId="77777777" w:rsidR="005369A2" w:rsidRPr="003A15F2" w:rsidRDefault="005369A2" w:rsidP="005369A2">
      <w:pPr>
        <w:pStyle w:val="ListParagraph"/>
        <w:spacing w:after="0" w:line="240" w:lineRule="auto"/>
        <w:jc w:val="both"/>
        <w:rPr>
          <w:rFonts w:ascii="Times New Roman" w:hAnsi="Times New Roman" w:cs="Times New Roman"/>
          <w:sz w:val="20"/>
          <w:szCs w:val="20"/>
        </w:rPr>
      </w:pPr>
    </w:p>
    <w:p w14:paraId="392FBC96" w14:textId="77777777" w:rsidR="005369A2" w:rsidRPr="003A15F2" w:rsidRDefault="005369A2" w:rsidP="005369A2">
      <w:pPr>
        <w:pStyle w:val="ListParagraph"/>
        <w:numPr>
          <w:ilvl w:val="0"/>
          <w:numId w:val="17"/>
        </w:numPr>
        <w:spacing w:after="0" w:line="240" w:lineRule="auto"/>
        <w:jc w:val="both"/>
        <w:rPr>
          <w:rFonts w:ascii="Times New Roman" w:hAnsi="Times New Roman" w:cs="Times New Roman"/>
          <w:sz w:val="20"/>
          <w:szCs w:val="20"/>
        </w:rPr>
      </w:pPr>
      <w:r w:rsidRPr="003A15F2">
        <w:rPr>
          <w:rFonts w:ascii="Times New Roman" w:hAnsi="Times New Roman" w:cs="Times New Roman"/>
          <w:sz w:val="20"/>
          <w:szCs w:val="20"/>
        </w:rPr>
        <w:t>the selection of eligible Executive Directors, Executive Officers and other employees to whom awards should be granted;</w:t>
      </w:r>
    </w:p>
    <w:p w14:paraId="7762A01A" w14:textId="77777777" w:rsidR="005369A2" w:rsidRPr="003A15F2" w:rsidRDefault="005369A2" w:rsidP="005369A2">
      <w:pPr>
        <w:pStyle w:val="ListParagraph"/>
        <w:numPr>
          <w:ilvl w:val="0"/>
          <w:numId w:val="17"/>
        </w:numPr>
        <w:spacing w:after="0" w:line="240" w:lineRule="auto"/>
        <w:jc w:val="both"/>
        <w:rPr>
          <w:rFonts w:ascii="Times New Roman" w:hAnsi="Times New Roman" w:cs="Times New Roman"/>
          <w:sz w:val="20"/>
          <w:szCs w:val="20"/>
        </w:rPr>
      </w:pPr>
      <w:r w:rsidRPr="003A15F2">
        <w:rPr>
          <w:rFonts w:ascii="Times New Roman" w:hAnsi="Times New Roman" w:cs="Times New Roman"/>
          <w:sz w:val="20"/>
          <w:szCs w:val="20"/>
        </w:rPr>
        <w:t>the timing of any grant;</w:t>
      </w:r>
    </w:p>
    <w:p w14:paraId="1DA50EF1" w14:textId="77777777" w:rsidR="005369A2" w:rsidRPr="003A15F2" w:rsidRDefault="005369A2" w:rsidP="005369A2">
      <w:pPr>
        <w:pStyle w:val="ListParagraph"/>
        <w:numPr>
          <w:ilvl w:val="0"/>
          <w:numId w:val="17"/>
        </w:numPr>
        <w:spacing w:after="0" w:line="240" w:lineRule="auto"/>
        <w:jc w:val="both"/>
        <w:rPr>
          <w:rFonts w:ascii="Times New Roman" w:hAnsi="Times New Roman" w:cs="Times New Roman"/>
          <w:sz w:val="20"/>
          <w:szCs w:val="20"/>
        </w:rPr>
      </w:pPr>
      <w:r w:rsidRPr="003A15F2">
        <w:rPr>
          <w:rFonts w:ascii="Times New Roman" w:hAnsi="Times New Roman" w:cs="Times New Roman"/>
          <w:sz w:val="20"/>
          <w:szCs w:val="20"/>
        </w:rPr>
        <w:t>the number of awards to be granted; and</w:t>
      </w:r>
    </w:p>
    <w:p w14:paraId="603AF303" w14:textId="77777777" w:rsidR="005369A2" w:rsidRPr="003A15F2" w:rsidRDefault="005369A2" w:rsidP="005369A2">
      <w:pPr>
        <w:pStyle w:val="ListParagraph"/>
        <w:numPr>
          <w:ilvl w:val="0"/>
          <w:numId w:val="17"/>
        </w:numPr>
        <w:spacing w:after="0" w:line="240" w:lineRule="auto"/>
        <w:jc w:val="both"/>
        <w:rPr>
          <w:rFonts w:ascii="Times New Roman" w:hAnsi="Times New Roman" w:cs="Times New Roman"/>
          <w:sz w:val="20"/>
          <w:szCs w:val="20"/>
        </w:rPr>
      </w:pPr>
      <w:r w:rsidRPr="003A15F2">
        <w:rPr>
          <w:rFonts w:ascii="Times New Roman" w:hAnsi="Times New Roman" w:cs="Times New Roman"/>
          <w:sz w:val="20"/>
          <w:szCs w:val="20"/>
        </w:rPr>
        <w:t>The exercise price at which options are to be granted.</w:t>
      </w:r>
    </w:p>
    <w:p w14:paraId="5089B486" w14:textId="77777777" w:rsidR="005369A2" w:rsidRPr="003A15F2" w:rsidRDefault="005369A2" w:rsidP="005369A2">
      <w:pPr>
        <w:pStyle w:val="ListParagraph"/>
        <w:spacing w:after="0" w:line="240" w:lineRule="auto"/>
        <w:ind w:left="1647"/>
        <w:jc w:val="both"/>
        <w:rPr>
          <w:rFonts w:ascii="Times New Roman" w:hAnsi="Times New Roman" w:cs="Times New Roman"/>
          <w:sz w:val="20"/>
          <w:szCs w:val="20"/>
        </w:rPr>
      </w:pPr>
    </w:p>
    <w:p w14:paraId="4DDF4AE0" w14:textId="77777777" w:rsidR="005369A2" w:rsidRPr="003A15F2" w:rsidRDefault="005369A2" w:rsidP="005369A2">
      <w:pPr>
        <w:pStyle w:val="ListParagraph"/>
        <w:numPr>
          <w:ilvl w:val="0"/>
          <w:numId w:val="14"/>
        </w:numPr>
        <w:spacing w:after="0" w:line="240" w:lineRule="auto"/>
        <w:jc w:val="both"/>
        <w:rPr>
          <w:rFonts w:ascii="Times New Roman" w:hAnsi="Times New Roman" w:cs="Times New Roman"/>
          <w:sz w:val="20"/>
          <w:szCs w:val="20"/>
        </w:rPr>
      </w:pPr>
      <w:r w:rsidRPr="003A15F2">
        <w:rPr>
          <w:rFonts w:ascii="Times New Roman" w:hAnsi="Times New Roman" w:cs="Times New Roman"/>
          <w:sz w:val="20"/>
          <w:szCs w:val="20"/>
        </w:rPr>
        <w:t>Regularly review incentive schemes to ensure continued alignment to creation of shareholder value and ensure that these are administered in terms of the rules.</w:t>
      </w:r>
    </w:p>
    <w:p w14:paraId="0A48572F" w14:textId="77777777" w:rsidR="005369A2" w:rsidRPr="003A15F2" w:rsidRDefault="005369A2" w:rsidP="005369A2">
      <w:pPr>
        <w:pStyle w:val="ListParagraph"/>
        <w:numPr>
          <w:ilvl w:val="0"/>
          <w:numId w:val="14"/>
        </w:numPr>
        <w:spacing w:after="0" w:line="240" w:lineRule="auto"/>
        <w:jc w:val="both"/>
        <w:rPr>
          <w:rFonts w:ascii="Times New Roman" w:hAnsi="Times New Roman" w:cs="Times New Roman"/>
          <w:sz w:val="20"/>
          <w:szCs w:val="20"/>
        </w:rPr>
      </w:pPr>
      <w:r w:rsidRPr="003A15F2">
        <w:rPr>
          <w:rFonts w:ascii="Times New Roman" w:hAnsi="Times New Roman" w:cs="Times New Roman"/>
          <w:sz w:val="20"/>
          <w:szCs w:val="20"/>
        </w:rPr>
        <w:t>Approval of the cost of general salary increments and remain appraised of the mandates for negotiations with the representative Unions or Workers Committees.</w:t>
      </w:r>
    </w:p>
    <w:p w14:paraId="14455774" w14:textId="77777777" w:rsidR="005369A2" w:rsidRPr="003A15F2" w:rsidRDefault="005369A2" w:rsidP="005369A2">
      <w:pPr>
        <w:spacing w:after="0"/>
        <w:rPr>
          <w:rFonts w:ascii="Times New Roman" w:hAnsi="Times New Roman" w:cs="Times New Roman"/>
          <w:sz w:val="20"/>
          <w:szCs w:val="20"/>
        </w:rPr>
      </w:pPr>
    </w:p>
    <w:p w14:paraId="4338CB84" w14:textId="77777777" w:rsidR="005369A2" w:rsidRPr="003A15F2" w:rsidRDefault="005369A2" w:rsidP="005369A2">
      <w:pPr>
        <w:spacing w:after="0"/>
        <w:rPr>
          <w:rFonts w:ascii="Times New Roman" w:hAnsi="Times New Roman" w:cs="Times New Roman"/>
          <w:sz w:val="20"/>
          <w:szCs w:val="20"/>
        </w:rPr>
      </w:pPr>
      <w:r w:rsidRPr="003A15F2">
        <w:rPr>
          <w:rFonts w:ascii="Times New Roman" w:hAnsi="Times New Roman" w:cs="Times New Roman"/>
          <w:sz w:val="20"/>
          <w:szCs w:val="20"/>
        </w:rPr>
        <w:t>The external consultants for salary survey the bank has been sought and engaged to conduct the remuneration market survey.</w:t>
      </w:r>
    </w:p>
    <w:p w14:paraId="74E460A4" w14:textId="77777777" w:rsidR="005369A2" w:rsidRPr="003A15F2" w:rsidRDefault="005369A2" w:rsidP="005369A2">
      <w:pPr>
        <w:spacing w:after="0"/>
        <w:rPr>
          <w:rFonts w:ascii="Times New Roman" w:hAnsi="Times New Roman" w:cs="Times New Roman"/>
          <w:sz w:val="20"/>
          <w:szCs w:val="20"/>
        </w:rPr>
      </w:pPr>
    </w:p>
    <w:p w14:paraId="785C5DAC" w14:textId="77777777" w:rsidR="005369A2" w:rsidRPr="003A15F2" w:rsidRDefault="005369A2" w:rsidP="005369A2">
      <w:pPr>
        <w:pStyle w:val="ListParagraph"/>
        <w:numPr>
          <w:ilvl w:val="0"/>
          <w:numId w:val="27"/>
        </w:numPr>
        <w:rPr>
          <w:rFonts w:ascii="Times New Roman" w:hAnsi="Times New Roman" w:cs="Times New Roman"/>
          <w:b/>
          <w:sz w:val="20"/>
          <w:szCs w:val="20"/>
        </w:rPr>
      </w:pPr>
      <w:r w:rsidRPr="003A15F2">
        <w:rPr>
          <w:rFonts w:ascii="Times New Roman" w:hAnsi="Times New Roman" w:cs="Times New Roman"/>
          <w:b/>
          <w:sz w:val="20"/>
          <w:szCs w:val="20"/>
        </w:rPr>
        <w:t>Remuneration Processes</w:t>
      </w:r>
    </w:p>
    <w:p w14:paraId="7E528903" w14:textId="3DF7979C" w:rsidR="005369A2" w:rsidRDefault="005369A2" w:rsidP="005369A2">
      <w:pPr>
        <w:rPr>
          <w:rFonts w:ascii="Times New Roman" w:hAnsi="Times New Roman" w:cs="Times New Roman"/>
          <w:sz w:val="20"/>
          <w:szCs w:val="20"/>
        </w:rPr>
      </w:pPr>
      <w:r w:rsidRPr="003A15F2">
        <w:rPr>
          <w:rFonts w:ascii="Times New Roman" w:hAnsi="Times New Roman" w:cs="Times New Roman"/>
          <w:sz w:val="20"/>
          <w:szCs w:val="20"/>
        </w:rPr>
        <w:t xml:space="preserve">The bank </w:t>
      </w:r>
      <w:r>
        <w:rPr>
          <w:rFonts w:ascii="Times New Roman" w:hAnsi="Times New Roman" w:cs="Times New Roman"/>
          <w:sz w:val="20"/>
          <w:szCs w:val="20"/>
        </w:rPr>
        <w:t>is in the process of reviewing the</w:t>
      </w:r>
      <w:r w:rsidRPr="003A15F2">
        <w:rPr>
          <w:rFonts w:ascii="Times New Roman" w:hAnsi="Times New Roman" w:cs="Times New Roman"/>
          <w:sz w:val="20"/>
          <w:szCs w:val="20"/>
        </w:rPr>
        <w:t xml:space="preserve"> </w:t>
      </w:r>
      <w:r>
        <w:rPr>
          <w:rFonts w:ascii="Times New Roman" w:hAnsi="Times New Roman" w:cs="Times New Roman"/>
          <w:sz w:val="20"/>
          <w:szCs w:val="20"/>
        </w:rPr>
        <w:t>reward</w:t>
      </w:r>
      <w:r w:rsidRPr="003A15F2">
        <w:rPr>
          <w:rFonts w:ascii="Times New Roman" w:hAnsi="Times New Roman" w:cs="Times New Roman"/>
          <w:sz w:val="20"/>
          <w:szCs w:val="20"/>
        </w:rPr>
        <w:t xml:space="preserve"> policy to ensure the bank attracts, retains and motivates members of staff in order to serve the interest of the bank. </w:t>
      </w:r>
      <w:r>
        <w:rPr>
          <w:rFonts w:ascii="Times New Roman" w:hAnsi="Times New Roman" w:cs="Times New Roman"/>
          <w:sz w:val="20"/>
          <w:szCs w:val="20"/>
        </w:rPr>
        <w:t>The Group is currently undertaking a job grading exercise across all countries which will later be aligned and localised to country legislation and Markets</w:t>
      </w:r>
      <w:r w:rsidRPr="003A15F2">
        <w:rPr>
          <w:rFonts w:ascii="Times New Roman" w:hAnsi="Times New Roman" w:cs="Times New Roman"/>
          <w:sz w:val="20"/>
          <w:szCs w:val="20"/>
        </w:rPr>
        <w:t>. Key for the bank is to establish internal equity of remunerations</w:t>
      </w:r>
      <w:r>
        <w:rPr>
          <w:rFonts w:ascii="Times New Roman" w:hAnsi="Times New Roman" w:cs="Times New Roman"/>
          <w:sz w:val="20"/>
          <w:szCs w:val="20"/>
        </w:rPr>
        <w:t xml:space="preserve"> and benefits</w:t>
      </w:r>
      <w:r w:rsidRPr="003A15F2">
        <w:rPr>
          <w:rFonts w:ascii="Times New Roman" w:hAnsi="Times New Roman" w:cs="Times New Roman"/>
          <w:sz w:val="20"/>
          <w:szCs w:val="20"/>
        </w:rPr>
        <w:t xml:space="preserve"> for similar positions. </w:t>
      </w:r>
    </w:p>
    <w:tbl>
      <w:tblPr>
        <w:tblStyle w:val="TableGrid"/>
        <w:tblW w:w="0" w:type="auto"/>
        <w:tblLook w:val="04A0" w:firstRow="1" w:lastRow="0" w:firstColumn="1" w:lastColumn="0" w:noHBand="0" w:noVBand="1"/>
      </w:tblPr>
      <w:tblGrid>
        <w:gridCol w:w="657"/>
        <w:gridCol w:w="1494"/>
        <w:gridCol w:w="6865"/>
      </w:tblGrid>
      <w:tr w:rsidR="005369A2" w:rsidRPr="003A15F2" w14:paraId="6E6E0F47" w14:textId="77777777" w:rsidTr="009D446D">
        <w:tc>
          <w:tcPr>
            <w:tcW w:w="657" w:type="dxa"/>
            <w:shd w:val="clear" w:color="auto" w:fill="000000" w:themeFill="text1"/>
          </w:tcPr>
          <w:p w14:paraId="64DFAD2A" w14:textId="77777777" w:rsidR="005369A2" w:rsidRPr="003A15F2" w:rsidRDefault="005369A2" w:rsidP="007A7FFD">
            <w:pPr>
              <w:rPr>
                <w:rFonts w:ascii="Times New Roman" w:hAnsi="Times New Roman" w:cs="Times New Roman"/>
                <w:sz w:val="20"/>
                <w:szCs w:val="20"/>
              </w:rPr>
            </w:pPr>
          </w:p>
        </w:tc>
        <w:tc>
          <w:tcPr>
            <w:tcW w:w="1494" w:type="dxa"/>
            <w:shd w:val="clear" w:color="auto" w:fill="000000" w:themeFill="text1"/>
          </w:tcPr>
          <w:p w14:paraId="74030117" w14:textId="77777777" w:rsidR="005369A2" w:rsidRPr="003A15F2" w:rsidRDefault="005369A2" w:rsidP="007A7FFD">
            <w:pPr>
              <w:rPr>
                <w:rFonts w:ascii="Times New Roman" w:hAnsi="Times New Roman" w:cs="Times New Roman"/>
                <w:b/>
                <w:color w:val="FFFFFF" w:themeColor="background1"/>
                <w:sz w:val="20"/>
                <w:szCs w:val="20"/>
              </w:rPr>
            </w:pPr>
            <w:r w:rsidRPr="003A15F2">
              <w:rPr>
                <w:rFonts w:ascii="Times New Roman" w:hAnsi="Times New Roman" w:cs="Times New Roman"/>
                <w:b/>
                <w:color w:val="FFFFFF" w:themeColor="background1"/>
                <w:sz w:val="20"/>
                <w:szCs w:val="20"/>
              </w:rPr>
              <w:t>Element</w:t>
            </w:r>
          </w:p>
        </w:tc>
        <w:tc>
          <w:tcPr>
            <w:tcW w:w="6865" w:type="dxa"/>
            <w:shd w:val="clear" w:color="auto" w:fill="000000" w:themeFill="text1"/>
          </w:tcPr>
          <w:p w14:paraId="324DD195" w14:textId="77777777" w:rsidR="005369A2" w:rsidRPr="003A15F2" w:rsidRDefault="005369A2" w:rsidP="007A7FFD">
            <w:pPr>
              <w:rPr>
                <w:rFonts w:ascii="Times New Roman" w:hAnsi="Times New Roman" w:cs="Times New Roman"/>
                <w:b/>
                <w:color w:val="FFFFFF" w:themeColor="background1"/>
                <w:sz w:val="20"/>
                <w:szCs w:val="20"/>
              </w:rPr>
            </w:pPr>
            <w:r w:rsidRPr="003A15F2">
              <w:rPr>
                <w:rFonts w:ascii="Times New Roman" w:hAnsi="Times New Roman" w:cs="Times New Roman"/>
                <w:b/>
                <w:color w:val="FFFFFF" w:themeColor="background1"/>
                <w:sz w:val="20"/>
                <w:szCs w:val="20"/>
              </w:rPr>
              <w:t>Operation</w:t>
            </w:r>
          </w:p>
        </w:tc>
      </w:tr>
      <w:tr w:rsidR="005369A2" w:rsidRPr="003A15F2" w14:paraId="6A8A288F" w14:textId="77777777" w:rsidTr="009D446D">
        <w:trPr>
          <w:trHeight w:val="1385"/>
        </w:trPr>
        <w:tc>
          <w:tcPr>
            <w:tcW w:w="657" w:type="dxa"/>
            <w:vMerge w:val="restart"/>
            <w:shd w:val="clear" w:color="auto" w:fill="92D050"/>
            <w:textDirection w:val="btLr"/>
            <w:vAlign w:val="center"/>
          </w:tcPr>
          <w:p w14:paraId="0F4D01F2" w14:textId="77777777" w:rsidR="005369A2" w:rsidRPr="003A15F2" w:rsidRDefault="005369A2" w:rsidP="007A7FFD">
            <w:pPr>
              <w:ind w:left="113" w:right="113"/>
              <w:jc w:val="center"/>
              <w:rPr>
                <w:rFonts w:ascii="Times New Roman" w:hAnsi="Times New Roman" w:cs="Times New Roman"/>
                <w:b/>
                <w:sz w:val="20"/>
                <w:szCs w:val="20"/>
              </w:rPr>
            </w:pPr>
            <w:r w:rsidRPr="003A15F2">
              <w:rPr>
                <w:rFonts w:ascii="Times New Roman" w:hAnsi="Times New Roman" w:cs="Times New Roman"/>
                <w:b/>
                <w:sz w:val="20"/>
                <w:szCs w:val="20"/>
              </w:rPr>
              <w:t xml:space="preserve">                                               Fixed Remuneration</w:t>
            </w:r>
          </w:p>
          <w:p w14:paraId="18504ACD" w14:textId="77777777" w:rsidR="005369A2" w:rsidRPr="003A15F2" w:rsidRDefault="005369A2" w:rsidP="007A7FFD">
            <w:pPr>
              <w:ind w:left="113" w:right="113"/>
              <w:jc w:val="center"/>
              <w:rPr>
                <w:rFonts w:ascii="Times New Roman" w:hAnsi="Times New Roman" w:cs="Times New Roman"/>
                <w:b/>
                <w:sz w:val="20"/>
                <w:szCs w:val="20"/>
              </w:rPr>
            </w:pPr>
          </w:p>
        </w:tc>
        <w:tc>
          <w:tcPr>
            <w:tcW w:w="1494" w:type="dxa"/>
          </w:tcPr>
          <w:p w14:paraId="5B52628D" w14:textId="77777777" w:rsidR="005369A2" w:rsidRPr="003A15F2" w:rsidRDefault="005369A2" w:rsidP="007A7FFD">
            <w:pPr>
              <w:rPr>
                <w:rFonts w:ascii="Times New Roman" w:hAnsi="Times New Roman" w:cs="Times New Roman"/>
                <w:b/>
                <w:sz w:val="20"/>
                <w:szCs w:val="20"/>
              </w:rPr>
            </w:pPr>
            <w:r w:rsidRPr="003A15F2">
              <w:rPr>
                <w:rFonts w:ascii="Times New Roman" w:hAnsi="Times New Roman" w:cs="Times New Roman"/>
                <w:b/>
                <w:sz w:val="20"/>
                <w:szCs w:val="20"/>
              </w:rPr>
              <w:t>Salary</w:t>
            </w:r>
          </w:p>
        </w:tc>
        <w:tc>
          <w:tcPr>
            <w:tcW w:w="6865" w:type="dxa"/>
          </w:tcPr>
          <w:p w14:paraId="029BB163" w14:textId="77777777" w:rsidR="005369A2" w:rsidRPr="003A15F2" w:rsidRDefault="005369A2" w:rsidP="005369A2">
            <w:pPr>
              <w:pStyle w:val="ListParagraph"/>
              <w:numPr>
                <w:ilvl w:val="0"/>
                <w:numId w:val="18"/>
              </w:numPr>
              <w:rPr>
                <w:rFonts w:ascii="Times New Roman" w:hAnsi="Times New Roman" w:cs="Times New Roman"/>
                <w:sz w:val="20"/>
                <w:szCs w:val="20"/>
              </w:rPr>
            </w:pPr>
            <w:r w:rsidRPr="003A15F2">
              <w:rPr>
                <w:rFonts w:ascii="Times New Roman" w:hAnsi="Times New Roman" w:cs="Times New Roman"/>
                <w:sz w:val="20"/>
                <w:szCs w:val="20"/>
              </w:rPr>
              <w:t>Salaries reflect individuals’ skills and experience and are reviewed annually against market information and in the context of annual performance assessment and affordability.</w:t>
            </w:r>
          </w:p>
          <w:p w14:paraId="29F0E79A" w14:textId="77777777" w:rsidR="005369A2" w:rsidRPr="003A15F2" w:rsidRDefault="005369A2" w:rsidP="007A7FFD">
            <w:pPr>
              <w:pStyle w:val="ListParagraph"/>
              <w:rPr>
                <w:rFonts w:ascii="Times New Roman" w:hAnsi="Times New Roman" w:cs="Times New Roman"/>
                <w:sz w:val="20"/>
                <w:szCs w:val="20"/>
              </w:rPr>
            </w:pPr>
          </w:p>
          <w:p w14:paraId="19F1C11D" w14:textId="77777777" w:rsidR="005369A2" w:rsidRPr="003A15F2" w:rsidRDefault="005369A2" w:rsidP="005369A2">
            <w:pPr>
              <w:pStyle w:val="ListParagraph"/>
              <w:numPr>
                <w:ilvl w:val="0"/>
                <w:numId w:val="18"/>
              </w:numPr>
              <w:rPr>
                <w:rFonts w:ascii="Times New Roman" w:hAnsi="Times New Roman" w:cs="Times New Roman"/>
                <w:sz w:val="20"/>
                <w:szCs w:val="20"/>
              </w:rPr>
            </w:pPr>
            <w:r w:rsidRPr="003A15F2">
              <w:rPr>
                <w:rFonts w:ascii="Times New Roman" w:hAnsi="Times New Roman" w:cs="Times New Roman"/>
                <w:sz w:val="20"/>
                <w:szCs w:val="20"/>
              </w:rPr>
              <w:t>Increases may occur where there is a role change, increased responsibility or to ensure market competitiveness.</w:t>
            </w:r>
          </w:p>
        </w:tc>
      </w:tr>
      <w:tr w:rsidR="005369A2" w:rsidRPr="003A15F2" w14:paraId="24B5F89D" w14:textId="77777777" w:rsidTr="009D446D">
        <w:tc>
          <w:tcPr>
            <w:tcW w:w="657" w:type="dxa"/>
            <w:vMerge/>
            <w:shd w:val="clear" w:color="auto" w:fill="92D050"/>
          </w:tcPr>
          <w:p w14:paraId="5142EA89" w14:textId="77777777" w:rsidR="005369A2" w:rsidRPr="003A15F2" w:rsidRDefault="005369A2" w:rsidP="007A7FFD">
            <w:pPr>
              <w:rPr>
                <w:rFonts w:ascii="Times New Roman" w:hAnsi="Times New Roman" w:cs="Times New Roman"/>
                <w:b/>
                <w:sz w:val="20"/>
                <w:szCs w:val="20"/>
              </w:rPr>
            </w:pPr>
          </w:p>
        </w:tc>
        <w:tc>
          <w:tcPr>
            <w:tcW w:w="1494" w:type="dxa"/>
          </w:tcPr>
          <w:p w14:paraId="0F2C7BE3" w14:textId="77777777" w:rsidR="005369A2" w:rsidRPr="003A15F2" w:rsidRDefault="005369A2" w:rsidP="007A7FFD">
            <w:pPr>
              <w:rPr>
                <w:rFonts w:ascii="Times New Roman" w:hAnsi="Times New Roman" w:cs="Times New Roman"/>
                <w:b/>
                <w:sz w:val="20"/>
                <w:szCs w:val="20"/>
              </w:rPr>
            </w:pPr>
            <w:r w:rsidRPr="003A15F2">
              <w:rPr>
                <w:rFonts w:ascii="Times New Roman" w:hAnsi="Times New Roman" w:cs="Times New Roman"/>
                <w:b/>
                <w:sz w:val="20"/>
                <w:szCs w:val="20"/>
              </w:rPr>
              <w:t>Pension &amp; Benefits</w:t>
            </w:r>
          </w:p>
        </w:tc>
        <w:tc>
          <w:tcPr>
            <w:tcW w:w="6865" w:type="dxa"/>
          </w:tcPr>
          <w:p w14:paraId="38997F71" w14:textId="77777777" w:rsidR="005369A2" w:rsidRPr="003A15F2" w:rsidRDefault="005369A2" w:rsidP="005369A2">
            <w:pPr>
              <w:pStyle w:val="ListParagraph"/>
              <w:numPr>
                <w:ilvl w:val="0"/>
                <w:numId w:val="19"/>
              </w:numPr>
              <w:rPr>
                <w:rFonts w:ascii="Times New Roman" w:hAnsi="Times New Roman" w:cs="Times New Roman"/>
                <w:sz w:val="20"/>
                <w:szCs w:val="20"/>
              </w:rPr>
            </w:pPr>
            <w:r w:rsidRPr="003A15F2">
              <w:rPr>
                <w:rFonts w:ascii="Times New Roman" w:hAnsi="Times New Roman" w:cs="Times New Roman"/>
                <w:sz w:val="20"/>
                <w:szCs w:val="20"/>
              </w:rPr>
              <w:t>Benefits are provided depending on local market practice.  Employees have access to country-specific, company-funded benefits such as pension schemes, private medical insurance, life insurance and cash allowances.  The cost of providing the benefits is defined and controlled.</w:t>
            </w:r>
          </w:p>
          <w:p w14:paraId="73BAF2EE" w14:textId="77777777" w:rsidR="005369A2" w:rsidRPr="003A15F2" w:rsidRDefault="005369A2" w:rsidP="007A7FFD">
            <w:pPr>
              <w:pStyle w:val="ListParagraph"/>
              <w:rPr>
                <w:rFonts w:ascii="Times New Roman" w:hAnsi="Times New Roman" w:cs="Times New Roman"/>
                <w:sz w:val="20"/>
                <w:szCs w:val="20"/>
              </w:rPr>
            </w:pPr>
          </w:p>
          <w:p w14:paraId="66068F57" w14:textId="77777777" w:rsidR="005369A2" w:rsidRPr="003A15F2" w:rsidRDefault="005369A2" w:rsidP="005369A2">
            <w:pPr>
              <w:pStyle w:val="ListParagraph"/>
              <w:numPr>
                <w:ilvl w:val="0"/>
                <w:numId w:val="19"/>
              </w:numPr>
              <w:rPr>
                <w:rFonts w:ascii="Times New Roman" w:hAnsi="Times New Roman" w:cs="Times New Roman"/>
                <w:sz w:val="20"/>
                <w:szCs w:val="20"/>
              </w:rPr>
            </w:pPr>
            <w:r w:rsidRPr="003A15F2">
              <w:rPr>
                <w:rFonts w:ascii="Times New Roman" w:hAnsi="Times New Roman" w:cs="Times New Roman"/>
                <w:sz w:val="20"/>
                <w:szCs w:val="20"/>
              </w:rPr>
              <w:t>Employees who are relocated or spend a substantial portion of their time in more than one jurisdiction for business purposes are provided with mobility benefits.</w:t>
            </w:r>
          </w:p>
        </w:tc>
      </w:tr>
      <w:tr w:rsidR="005369A2" w:rsidRPr="003A15F2" w14:paraId="3AA4515C" w14:textId="77777777" w:rsidTr="009D446D">
        <w:trPr>
          <w:cantSplit/>
          <w:trHeight w:val="1134"/>
        </w:trPr>
        <w:tc>
          <w:tcPr>
            <w:tcW w:w="657" w:type="dxa"/>
            <w:shd w:val="clear" w:color="auto" w:fill="92D050"/>
            <w:textDirection w:val="btLr"/>
            <w:vAlign w:val="center"/>
          </w:tcPr>
          <w:p w14:paraId="740F6A1C" w14:textId="77777777" w:rsidR="005369A2" w:rsidRPr="003A15F2" w:rsidRDefault="005369A2" w:rsidP="007A7FFD">
            <w:pPr>
              <w:ind w:left="113" w:right="113"/>
              <w:jc w:val="center"/>
              <w:rPr>
                <w:rFonts w:ascii="Times New Roman" w:hAnsi="Times New Roman" w:cs="Times New Roman"/>
                <w:b/>
                <w:sz w:val="20"/>
                <w:szCs w:val="20"/>
              </w:rPr>
            </w:pPr>
            <w:r w:rsidRPr="003A15F2">
              <w:rPr>
                <w:rFonts w:ascii="Times New Roman" w:hAnsi="Times New Roman" w:cs="Times New Roman"/>
                <w:b/>
                <w:sz w:val="20"/>
                <w:szCs w:val="20"/>
              </w:rPr>
              <w:t>Variable Remuneration</w:t>
            </w:r>
          </w:p>
        </w:tc>
        <w:tc>
          <w:tcPr>
            <w:tcW w:w="1494" w:type="dxa"/>
          </w:tcPr>
          <w:p w14:paraId="0E66B487" w14:textId="77777777" w:rsidR="005369A2" w:rsidRPr="003A15F2" w:rsidRDefault="005369A2" w:rsidP="007A7FFD">
            <w:pPr>
              <w:rPr>
                <w:rFonts w:ascii="Times New Roman" w:hAnsi="Times New Roman" w:cs="Times New Roman"/>
                <w:b/>
                <w:sz w:val="20"/>
                <w:szCs w:val="20"/>
              </w:rPr>
            </w:pPr>
            <w:r w:rsidRPr="003A15F2">
              <w:rPr>
                <w:rFonts w:ascii="Times New Roman" w:hAnsi="Times New Roman" w:cs="Times New Roman"/>
                <w:b/>
                <w:sz w:val="20"/>
                <w:szCs w:val="20"/>
              </w:rPr>
              <w:t>Variable Remuneration</w:t>
            </w:r>
          </w:p>
        </w:tc>
        <w:tc>
          <w:tcPr>
            <w:tcW w:w="6865" w:type="dxa"/>
          </w:tcPr>
          <w:p w14:paraId="1528585E" w14:textId="77777777" w:rsidR="005369A2" w:rsidRPr="003A15F2" w:rsidRDefault="005369A2" w:rsidP="007A7FFD">
            <w:pPr>
              <w:rPr>
                <w:rFonts w:ascii="Times New Roman" w:hAnsi="Times New Roman" w:cs="Times New Roman"/>
                <w:sz w:val="20"/>
                <w:szCs w:val="20"/>
              </w:rPr>
            </w:pPr>
          </w:p>
          <w:p w14:paraId="47D2BFE7" w14:textId="77777777" w:rsidR="005369A2" w:rsidRDefault="005369A2" w:rsidP="005369A2">
            <w:pPr>
              <w:pStyle w:val="ListParagraph"/>
              <w:numPr>
                <w:ilvl w:val="0"/>
                <w:numId w:val="20"/>
              </w:numPr>
              <w:rPr>
                <w:rFonts w:ascii="Times New Roman" w:hAnsi="Times New Roman" w:cs="Times New Roman"/>
                <w:sz w:val="20"/>
                <w:szCs w:val="20"/>
              </w:rPr>
            </w:pPr>
            <w:r w:rsidRPr="003A15F2">
              <w:rPr>
                <w:rFonts w:ascii="Times New Roman" w:hAnsi="Times New Roman" w:cs="Times New Roman"/>
                <w:sz w:val="20"/>
                <w:szCs w:val="20"/>
              </w:rPr>
              <w:t>Incentives and bonuses awarded to employees who have performed exceptionally well as per management discretion. This is important for motivation amongst employees within the bank.</w:t>
            </w:r>
          </w:p>
          <w:p w14:paraId="7B18CBC5" w14:textId="77777777" w:rsidR="005369A2" w:rsidRDefault="005369A2" w:rsidP="007A7FFD">
            <w:pPr>
              <w:pStyle w:val="ListParagraph"/>
              <w:rPr>
                <w:rFonts w:ascii="Times New Roman" w:hAnsi="Times New Roman" w:cs="Times New Roman"/>
                <w:sz w:val="20"/>
                <w:szCs w:val="20"/>
              </w:rPr>
            </w:pPr>
          </w:p>
          <w:p w14:paraId="014E3005" w14:textId="77777777" w:rsidR="005369A2" w:rsidRPr="00BE67B9" w:rsidRDefault="005369A2" w:rsidP="005369A2">
            <w:pPr>
              <w:pStyle w:val="ListParagraph"/>
              <w:numPr>
                <w:ilvl w:val="0"/>
                <w:numId w:val="20"/>
              </w:numPr>
              <w:rPr>
                <w:rFonts w:ascii="Times New Roman" w:hAnsi="Times New Roman" w:cs="Times New Roman"/>
                <w:sz w:val="20"/>
                <w:szCs w:val="20"/>
              </w:rPr>
            </w:pPr>
            <w:r w:rsidRPr="00BE67B9">
              <w:rPr>
                <w:rFonts w:ascii="Times New Roman" w:hAnsi="Times New Roman" w:cs="Times New Roman"/>
                <w:sz w:val="20"/>
                <w:szCs w:val="20"/>
              </w:rPr>
              <w:t>Long Service Rewards</w:t>
            </w:r>
          </w:p>
          <w:p w14:paraId="2F94CF36" w14:textId="77777777" w:rsidR="005369A2" w:rsidRPr="003A15F2" w:rsidRDefault="005369A2" w:rsidP="007A7FFD">
            <w:pPr>
              <w:rPr>
                <w:rFonts w:ascii="Times New Roman" w:hAnsi="Times New Roman" w:cs="Times New Roman"/>
                <w:sz w:val="20"/>
                <w:szCs w:val="20"/>
              </w:rPr>
            </w:pPr>
          </w:p>
          <w:p w14:paraId="7ADE2893" w14:textId="77777777" w:rsidR="005369A2" w:rsidRPr="003A15F2" w:rsidRDefault="005369A2" w:rsidP="007A7FFD">
            <w:pPr>
              <w:rPr>
                <w:rFonts w:ascii="Times New Roman" w:hAnsi="Times New Roman" w:cs="Times New Roman"/>
                <w:sz w:val="20"/>
                <w:szCs w:val="20"/>
              </w:rPr>
            </w:pPr>
          </w:p>
          <w:p w14:paraId="37C79291" w14:textId="77777777" w:rsidR="005369A2" w:rsidRPr="003A15F2" w:rsidRDefault="005369A2" w:rsidP="007A7FFD">
            <w:pPr>
              <w:rPr>
                <w:rFonts w:ascii="Times New Roman" w:hAnsi="Times New Roman" w:cs="Times New Roman"/>
                <w:sz w:val="20"/>
                <w:szCs w:val="20"/>
              </w:rPr>
            </w:pPr>
          </w:p>
          <w:p w14:paraId="7E4E89FB" w14:textId="77777777" w:rsidR="005369A2" w:rsidRPr="003A15F2" w:rsidRDefault="005369A2" w:rsidP="007A7FFD">
            <w:pPr>
              <w:rPr>
                <w:rFonts w:ascii="Times New Roman" w:hAnsi="Times New Roman" w:cs="Times New Roman"/>
                <w:sz w:val="20"/>
                <w:szCs w:val="20"/>
              </w:rPr>
            </w:pPr>
          </w:p>
          <w:p w14:paraId="26106310" w14:textId="77777777" w:rsidR="005369A2" w:rsidRPr="003A15F2" w:rsidRDefault="005369A2" w:rsidP="007A7FFD">
            <w:pPr>
              <w:rPr>
                <w:rFonts w:ascii="Times New Roman" w:hAnsi="Times New Roman" w:cs="Times New Roman"/>
                <w:sz w:val="20"/>
                <w:szCs w:val="20"/>
              </w:rPr>
            </w:pPr>
          </w:p>
          <w:p w14:paraId="5DB52079" w14:textId="77777777" w:rsidR="005369A2" w:rsidRPr="003A15F2" w:rsidRDefault="005369A2" w:rsidP="007A7FFD">
            <w:pPr>
              <w:rPr>
                <w:rFonts w:ascii="Times New Roman" w:hAnsi="Times New Roman" w:cs="Times New Roman"/>
                <w:sz w:val="20"/>
                <w:szCs w:val="20"/>
              </w:rPr>
            </w:pPr>
          </w:p>
          <w:p w14:paraId="08AB9CA0" w14:textId="77777777" w:rsidR="005369A2" w:rsidRPr="003A15F2" w:rsidRDefault="005369A2" w:rsidP="007A7FFD">
            <w:pPr>
              <w:rPr>
                <w:rFonts w:ascii="Times New Roman" w:hAnsi="Times New Roman" w:cs="Times New Roman"/>
                <w:sz w:val="20"/>
                <w:szCs w:val="20"/>
              </w:rPr>
            </w:pPr>
          </w:p>
        </w:tc>
      </w:tr>
    </w:tbl>
    <w:p w14:paraId="4CD208D8" w14:textId="77777777" w:rsidR="005369A2" w:rsidRPr="003A15F2" w:rsidRDefault="005369A2" w:rsidP="005369A2">
      <w:pPr>
        <w:rPr>
          <w:rFonts w:ascii="Times New Roman" w:hAnsi="Times New Roman" w:cs="Times New Roman"/>
          <w:b/>
          <w:sz w:val="20"/>
          <w:szCs w:val="20"/>
        </w:rPr>
      </w:pPr>
    </w:p>
    <w:p w14:paraId="30AA18D1" w14:textId="77777777" w:rsidR="005369A2" w:rsidRPr="003A15F2" w:rsidRDefault="005369A2" w:rsidP="005369A2">
      <w:pPr>
        <w:rPr>
          <w:rFonts w:ascii="Times New Roman" w:hAnsi="Times New Roman" w:cs="Times New Roman"/>
          <w:sz w:val="20"/>
          <w:szCs w:val="20"/>
        </w:rPr>
      </w:pPr>
      <w:r w:rsidRPr="003A15F2">
        <w:rPr>
          <w:rFonts w:ascii="Times New Roman" w:hAnsi="Times New Roman" w:cs="Times New Roman"/>
          <w:sz w:val="20"/>
          <w:szCs w:val="20"/>
        </w:rPr>
        <w:lastRenderedPageBreak/>
        <w:t>Every year the Human Resource Management Committee meet to salaries and conditions of service, chaired by the Chief executive Officer determines the percentages of increments to be awarded for each element of salary review, depending on:</w:t>
      </w:r>
    </w:p>
    <w:p w14:paraId="0886D54F" w14:textId="77777777" w:rsidR="005369A2" w:rsidRPr="003A15F2" w:rsidRDefault="005369A2" w:rsidP="005369A2">
      <w:pPr>
        <w:pStyle w:val="ListParagraph"/>
        <w:numPr>
          <w:ilvl w:val="0"/>
          <w:numId w:val="21"/>
        </w:numPr>
        <w:rPr>
          <w:rFonts w:ascii="Times New Roman" w:hAnsi="Times New Roman" w:cs="Times New Roman"/>
          <w:sz w:val="20"/>
          <w:szCs w:val="20"/>
        </w:rPr>
      </w:pPr>
      <w:r w:rsidRPr="003A15F2">
        <w:rPr>
          <w:rFonts w:ascii="Times New Roman" w:hAnsi="Times New Roman" w:cs="Times New Roman"/>
          <w:sz w:val="20"/>
          <w:szCs w:val="20"/>
        </w:rPr>
        <w:t>The financial ability of the bank to pay</w:t>
      </w:r>
    </w:p>
    <w:p w14:paraId="37B1E0D6" w14:textId="77777777" w:rsidR="005369A2" w:rsidRPr="003A15F2" w:rsidRDefault="005369A2" w:rsidP="005369A2">
      <w:pPr>
        <w:pStyle w:val="ListParagraph"/>
        <w:numPr>
          <w:ilvl w:val="0"/>
          <w:numId w:val="21"/>
        </w:numPr>
        <w:rPr>
          <w:rFonts w:ascii="Times New Roman" w:hAnsi="Times New Roman" w:cs="Times New Roman"/>
          <w:sz w:val="20"/>
          <w:szCs w:val="20"/>
        </w:rPr>
      </w:pPr>
      <w:r w:rsidRPr="003A15F2">
        <w:rPr>
          <w:rFonts w:ascii="Times New Roman" w:hAnsi="Times New Roman" w:cs="Times New Roman"/>
          <w:sz w:val="20"/>
          <w:szCs w:val="20"/>
        </w:rPr>
        <w:t>The inflation and cost of living increases in the economy</w:t>
      </w:r>
    </w:p>
    <w:p w14:paraId="3E0B40DE" w14:textId="77777777" w:rsidR="005369A2" w:rsidRPr="003A15F2" w:rsidRDefault="005369A2" w:rsidP="005369A2">
      <w:pPr>
        <w:pStyle w:val="ListParagraph"/>
        <w:numPr>
          <w:ilvl w:val="0"/>
          <w:numId w:val="21"/>
        </w:numPr>
        <w:rPr>
          <w:rFonts w:ascii="Times New Roman" w:hAnsi="Times New Roman" w:cs="Times New Roman"/>
          <w:sz w:val="20"/>
          <w:szCs w:val="20"/>
        </w:rPr>
      </w:pPr>
      <w:r w:rsidRPr="003A15F2">
        <w:rPr>
          <w:rFonts w:ascii="Times New Roman" w:hAnsi="Times New Roman" w:cs="Times New Roman"/>
          <w:sz w:val="20"/>
          <w:szCs w:val="20"/>
        </w:rPr>
        <w:t>Availability of skills in the market</w:t>
      </w:r>
    </w:p>
    <w:p w14:paraId="50C4574B" w14:textId="77777777" w:rsidR="005369A2" w:rsidRPr="003A15F2" w:rsidRDefault="005369A2" w:rsidP="005369A2">
      <w:pPr>
        <w:pStyle w:val="ListParagraph"/>
        <w:numPr>
          <w:ilvl w:val="0"/>
          <w:numId w:val="21"/>
        </w:numPr>
        <w:rPr>
          <w:rFonts w:ascii="Times New Roman" w:hAnsi="Times New Roman" w:cs="Times New Roman"/>
          <w:sz w:val="20"/>
          <w:szCs w:val="20"/>
        </w:rPr>
      </w:pPr>
      <w:r w:rsidRPr="003A15F2">
        <w:rPr>
          <w:rFonts w:ascii="Times New Roman" w:hAnsi="Times New Roman" w:cs="Times New Roman"/>
          <w:sz w:val="20"/>
          <w:szCs w:val="20"/>
        </w:rPr>
        <w:t>Individual performance</w:t>
      </w:r>
    </w:p>
    <w:p w14:paraId="1755BF80" w14:textId="77777777" w:rsidR="005369A2" w:rsidRPr="003A15F2" w:rsidRDefault="005369A2" w:rsidP="005369A2">
      <w:pPr>
        <w:rPr>
          <w:rFonts w:ascii="Times New Roman" w:hAnsi="Times New Roman" w:cs="Times New Roman"/>
          <w:b/>
          <w:sz w:val="20"/>
          <w:szCs w:val="20"/>
        </w:rPr>
      </w:pPr>
      <w:r w:rsidRPr="003A15F2">
        <w:rPr>
          <w:rFonts w:ascii="Times New Roman" w:hAnsi="Times New Roman" w:cs="Times New Roman"/>
          <w:b/>
          <w:sz w:val="20"/>
          <w:szCs w:val="20"/>
        </w:rPr>
        <w:t>Rewarding Performance</w:t>
      </w:r>
    </w:p>
    <w:p w14:paraId="4FA05084" w14:textId="77777777" w:rsidR="005369A2" w:rsidRPr="003A15F2" w:rsidRDefault="005369A2" w:rsidP="005369A2">
      <w:pPr>
        <w:rPr>
          <w:rFonts w:ascii="Times New Roman" w:hAnsi="Times New Roman" w:cs="Times New Roman"/>
          <w:sz w:val="20"/>
          <w:szCs w:val="20"/>
        </w:rPr>
      </w:pPr>
      <w:r w:rsidRPr="003A15F2">
        <w:rPr>
          <w:rFonts w:ascii="Times New Roman" w:hAnsi="Times New Roman" w:cs="Times New Roman"/>
          <w:sz w:val="20"/>
          <w:szCs w:val="20"/>
        </w:rPr>
        <w:t xml:space="preserve">In order for the bank to continually reward employees fairly, employees are kept accountable to deliver through a Performance Management System. Employees are scored on </w:t>
      </w:r>
      <w:r>
        <w:rPr>
          <w:rFonts w:ascii="Times New Roman" w:hAnsi="Times New Roman" w:cs="Times New Roman"/>
          <w:sz w:val="20"/>
          <w:szCs w:val="20"/>
        </w:rPr>
        <w:t>six</w:t>
      </w:r>
      <w:r w:rsidRPr="003A15F2">
        <w:rPr>
          <w:rFonts w:ascii="Times New Roman" w:hAnsi="Times New Roman" w:cs="Times New Roman"/>
          <w:sz w:val="20"/>
          <w:szCs w:val="20"/>
        </w:rPr>
        <w:t>-point rating scale, with performance objectives duly discussed, agreed and signed off by employees and their managers.</w:t>
      </w:r>
    </w:p>
    <w:p w14:paraId="543DA893" w14:textId="77777777" w:rsidR="005369A2" w:rsidRPr="003A15F2" w:rsidRDefault="005369A2" w:rsidP="005369A2">
      <w:pPr>
        <w:rPr>
          <w:rFonts w:ascii="Times New Roman" w:hAnsi="Times New Roman" w:cs="Times New Roman"/>
          <w:b/>
          <w:sz w:val="20"/>
          <w:szCs w:val="20"/>
        </w:rPr>
      </w:pPr>
      <w:r w:rsidRPr="003A15F2">
        <w:rPr>
          <w:rFonts w:ascii="Times New Roman" w:hAnsi="Times New Roman" w:cs="Times New Roman"/>
          <w:b/>
          <w:sz w:val="20"/>
          <w:szCs w:val="20"/>
        </w:rPr>
        <w:t>Good governance</w:t>
      </w:r>
    </w:p>
    <w:p w14:paraId="5C78FA53" w14:textId="77777777" w:rsidR="005369A2" w:rsidRPr="003A15F2" w:rsidRDefault="005369A2" w:rsidP="005369A2">
      <w:pPr>
        <w:rPr>
          <w:rFonts w:ascii="Times New Roman" w:hAnsi="Times New Roman" w:cs="Times New Roman"/>
          <w:sz w:val="20"/>
          <w:szCs w:val="20"/>
        </w:rPr>
      </w:pPr>
      <w:r w:rsidRPr="003A15F2">
        <w:rPr>
          <w:rFonts w:ascii="Times New Roman" w:hAnsi="Times New Roman" w:cs="Times New Roman"/>
          <w:sz w:val="20"/>
          <w:szCs w:val="20"/>
        </w:rPr>
        <w:t xml:space="preserve">The Bank has formed an Appointment and Remuneration Board committee that sits quarterly. Its primary role among other things shall be to ensure broad human resources policies and principles including remuneration and benefits are put in place and to maintain objectivity and neutrality in determining remuneration and benefits. </w:t>
      </w:r>
    </w:p>
    <w:p w14:paraId="282823B6" w14:textId="77777777" w:rsidR="005369A2" w:rsidRPr="003A15F2" w:rsidRDefault="005369A2" w:rsidP="005369A2">
      <w:pPr>
        <w:rPr>
          <w:rFonts w:ascii="Times New Roman" w:hAnsi="Times New Roman" w:cs="Times New Roman"/>
          <w:b/>
          <w:sz w:val="20"/>
          <w:szCs w:val="20"/>
        </w:rPr>
      </w:pPr>
      <w:r w:rsidRPr="003A15F2">
        <w:rPr>
          <w:rFonts w:ascii="Times New Roman" w:hAnsi="Times New Roman" w:cs="Times New Roman"/>
          <w:b/>
          <w:sz w:val="20"/>
          <w:szCs w:val="20"/>
        </w:rPr>
        <w:t>Variable pay</w:t>
      </w:r>
    </w:p>
    <w:p w14:paraId="42E27C72" w14:textId="65062E86" w:rsidR="005369A2" w:rsidRPr="0088144E" w:rsidRDefault="005369A2" w:rsidP="005369A2">
      <w:pPr>
        <w:pStyle w:val="ListParagraph"/>
        <w:numPr>
          <w:ilvl w:val="0"/>
          <w:numId w:val="22"/>
        </w:numPr>
        <w:rPr>
          <w:rFonts w:ascii="Times New Roman" w:hAnsi="Times New Roman" w:cs="Times New Roman"/>
          <w:sz w:val="20"/>
          <w:szCs w:val="20"/>
        </w:rPr>
      </w:pPr>
      <w:r w:rsidRPr="003A15F2">
        <w:rPr>
          <w:rFonts w:ascii="Times New Roman" w:hAnsi="Times New Roman" w:cs="Times New Roman"/>
          <w:sz w:val="20"/>
          <w:szCs w:val="20"/>
        </w:rPr>
        <w:t>Performance Bonus</w:t>
      </w:r>
    </w:p>
    <w:p w14:paraId="05CD0213" w14:textId="77777777" w:rsidR="005369A2" w:rsidRPr="003A15F2" w:rsidRDefault="005369A2" w:rsidP="005369A2">
      <w:pPr>
        <w:rPr>
          <w:rFonts w:ascii="Times New Roman" w:hAnsi="Times New Roman" w:cs="Times New Roman"/>
          <w:b/>
          <w:sz w:val="20"/>
          <w:szCs w:val="20"/>
        </w:rPr>
      </w:pPr>
      <w:r w:rsidRPr="003A15F2">
        <w:rPr>
          <w:rFonts w:ascii="Times New Roman" w:hAnsi="Times New Roman" w:cs="Times New Roman"/>
          <w:b/>
          <w:sz w:val="20"/>
          <w:szCs w:val="20"/>
        </w:rPr>
        <w:t>Employee Types</w:t>
      </w:r>
    </w:p>
    <w:p w14:paraId="24D55285" w14:textId="0A75A2DE" w:rsidR="005369A2" w:rsidRPr="00A56AAC" w:rsidRDefault="005369A2" w:rsidP="005369A2">
      <w:pPr>
        <w:pStyle w:val="ListParagraph"/>
        <w:numPr>
          <w:ilvl w:val="0"/>
          <w:numId w:val="23"/>
        </w:numPr>
        <w:rPr>
          <w:rFonts w:ascii="Times New Roman" w:hAnsi="Times New Roman" w:cs="Times New Roman"/>
          <w:sz w:val="20"/>
          <w:szCs w:val="20"/>
        </w:rPr>
      </w:pPr>
      <w:r w:rsidRPr="003A15F2">
        <w:rPr>
          <w:rFonts w:ascii="Times New Roman" w:hAnsi="Times New Roman" w:cs="Times New Roman"/>
          <w:sz w:val="20"/>
          <w:szCs w:val="20"/>
        </w:rPr>
        <w:t xml:space="preserve">Permanent employees- First Capital Bank had </w:t>
      </w:r>
      <w:r>
        <w:rPr>
          <w:rFonts w:ascii="Times New Roman" w:hAnsi="Times New Roman" w:cs="Times New Roman"/>
          <w:sz w:val="20"/>
          <w:szCs w:val="20"/>
        </w:rPr>
        <w:t>200 e</w:t>
      </w:r>
      <w:r w:rsidRPr="00A56AAC">
        <w:rPr>
          <w:rFonts w:ascii="Times New Roman" w:hAnsi="Times New Roman" w:cs="Times New Roman"/>
          <w:sz w:val="20"/>
          <w:szCs w:val="20"/>
        </w:rPr>
        <w:t xml:space="preserve">mployees as at </w:t>
      </w:r>
      <w:r>
        <w:rPr>
          <w:rFonts w:ascii="Times New Roman" w:hAnsi="Times New Roman" w:cs="Times New Roman"/>
          <w:sz w:val="20"/>
          <w:szCs w:val="20"/>
        </w:rPr>
        <w:t>31</w:t>
      </w:r>
      <w:r w:rsidRPr="009C2271">
        <w:rPr>
          <w:rFonts w:ascii="Times New Roman" w:hAnsi="Times New Roman" w:cs="Times New Roman"/>
          <w:sz w:val="20"/>
          <w:szCs w:val="20"/>
          <w:vertAlign w:val="superscript"/>
        </w:rPr>
        <w:t>st</w:t>
      </w:r>
      <w:r>
        <w:rPr>
          <w:rFonts w:ascii="Times New Roman" w:hAnsi="Times New Roman" w:cs="Times New Roman"/>
          <w:sz w:val="20"/>
          <w:szCs w:val="20"/>
        </w:rPr>
        <w:t xml:space="preserve"> March 2022</w:t>
      </w:r>
      <w:r w:rsidRPr="00A56AAC">
        <w:rPr>
          <w:rFonts w:ascii="Times New Roman" w:hAnsi="Times New Roman" w:cs="Times New Roman"/>
          <w:sz w:val="20"/>
          <w:szCs w:val="20"/>
        </w:rPr>
        <w:t xml:space="preserve"> who are permanent and pensionable</w:t>
      </w:r>
      <w:r w:rsidR="00614A27">
        <w:rPr>
          <w:rFonts w:ascii="Times New Roman" w:hAnsi="Times New Roman" w:cs="Times New Roman"/>
          <w:sz w:val="20"/>
          <w:szCs w:val="20"/>
        </w:rPr>
        <w:t>.</w:t>
      </w:r>
    </w:p>
    <w:p w14:paraId="26CB73F6" w14:textId="77777777" w:rsidR="005369A2" w:rsidRDefault="005369A2" w:rsidP="005369A2">
      <w:pPr>
        <w:pStyle w:val="ListParagraph"/>
        <w:numPr>
          <w:ilvl w:val="0"/>
          <w:numId w:val="23"/>
        </w:numPr>
        <w:rPr>
          <w:rFonts w:ascii="Times New Roman" w:hAnsi="Times New Roman" w:cs="Times New Roman"/>
          <w:sz w:val="20"/>
          <w:szCs w:val="20"/>
        </w:rPr>
      </w:pPr>
      <w:r w:rsidRPr="003A15F2">
        <w:rPr>
          <w:rFonts w:ascii="Times New Roman" w:hAnsi="Times New Roman" w:cs="Times New Roman"/>
          <w:sz w:val="20"/>
          <w:szCs w:val="20"/>
        </w:rPr>
        <w:t xml:space="preserve">Temporary/short term employees- The bank had </w:t>
      </w:r>
      <w:r>
        <w:rPr>
          <w:rFonts w:ascii="Times New Roman" w:hAnsi="Times New Roman" w:cs="Times New Roman"/>
          <w:sz w:val="20"/>
          <w:szCs w:val="20"/>
        </w:rPr>
        <w:t xml:space="preserve">8 </w:t>
      </w:r>
      <w:r w:rsidRPr="003A15F2">
        <w:rPr>
          <w:rFonts w:ascii="Times New Roman" w:hAnsi="Times New Roman" w:cs="Times New Roman"/>
          <w:sz w:val="20"/>
          <w:szCs w:val="20"/>
        </w:rPr>
        <w:t xml:space="preserve">temporary/short-term employees as at </w:t>
      </w:r>
      <w:r>
        <w:rPr>
          <w:rFonts w:ascii="Times New Roman" w:hAnsi="Times New Roman" w:cs="Times New Roman"/>
          <w:sz w:val="20"/>
          <w:szCs w:val="20"/>
        </w:rPr>
        <w:t>31</w:t>
      </w:r>
      <w:r w:rsidRPr="009C2271">
        <w:rPr>
          <w:rFonts w:ascii="Times New Roman" w:hAnsi="Times New Roman" w:cs="Times New Roman"/>
          <w:sz w:val="20"/>
          <w:szCs w:val="20"/>
          <w:vertAlign w:val="superscript"/>
        </w:rPr>
        <w:t>st</w:t>
      </w:r>
      <w:r>
        <w:rPr>
          <w:rFonts w:ascii="Times New Roman" w:hAnsi="Times New Roman" w:cs="Times New Roman"/>
          <w:sz w:val="20"/>
          <w:szCs w:val="20"/>
        </w:rPr>
        <w:t xml:space="preserve"> March 2022.</w:t>
      </w:r>
    </w:p>
    <w:p w14:paraId="662C6E52" w14:textId="50778D65" w:rsidR="005369A2" w:rsidRPr="005442DE" w:rsidRDefault="005369A2" w:rsidP="005369A2">
      <w:pPr>
        <w:pStyle w:val="ListParagraph"/>
        <w:numPr>
          <w:ilvl w:val="0"/>
          <w:numId w:val="23"/>
        </w:numPr>
        <w:rPr>
          <w:rFonts w:ascii="Times New Roman" w:hAnsi="Times New Roman" w:cs="Times New Roman"/>
          <w:sz w:val="20"/>
          <w:szCs w:val="20"/>
        </w:rPr>
      </w:pPr>
      <w:r w:rsidRPr="005442DE">
        <w:rPr>
          <w:rFonts w:ascii="Times New Roman" w:hAnsi="Times New Roman" w:cs="Times New Roman"/>
          <w:sz w:val="20"/>
          <w:szCs w:val="20"/>
        </w:rPr>
        <w:t xml:space="preserve">Long term Contracts employees – The bank had </w:t>
      </w:r>
      <w:r>
        <w:rPr>
          <w:rFonts w:ascii="Times New Roman" w:hAnsi="Times New Roman" w:cs="Times New Roman"/>
          <w:sz w:val="20"/>
          <w:szCs w:val="20"/>
        </w:rPr>
        <w:t xml:space="preserve">8 </w:t>
      </w:r>
      <w:r w:rsidRPr="005442DE">
        <w:rPr>
          <w:rFonts w:ascii="Times New Roman" w:hAnsi="Times New Roman" w:cs="Times New Roman"/>
          <w:sz w:val="20"/>
          <w:szCs w:val="20"/>
        </w:rPr>
        <w:t xml:space="preserve">employees on long </w:t>
      </w:r>
      <w:r w:rsidR="0088144E">
        <w:rPr>
          <w:rFonts w:ascii="Times New Roman" w:hAnsi="Times New Roman" w:cs="Times New Roman"/>
          <w:sz w:val="20"/>
          <w:szCs w:val="20"/>
        </w:rPr>
        <w:t xml:space="preserve">term </w:t>
      </w:r>
      <w:r w:rsidRPr="005442DE">
        <w:rPr>
          <w:rFonts w:ascii="Times New Roman" w:hAnsi="Times New Roman" w:cs="Times New Roman"/>
          <w:sz w:val="20"/>
          <w:szCs w:val="20"/>
        </w:rPr>
        <w:t xml:space="preserve">contracts as at </w:t>
      </w:r>
      <w:r>
        <w:rPr>
          <w:rFonts w:ascii="Times New Roman" w:hAnsi="Times New Roman" w:cs="Times New Roman"/>
          <w:sz w:val="20"/>
          <w:szCs w:val="20"/>
        </w:rPr>
        <w:t>31</w:t>
      </w:r>
      <w:r w:rsidRPr="009C2271">
        <w:rPr>
          <w:rFonts w:ascii="Times New Roman" w:hAnsi="Times New Roman" w:cs="Times New Roman"/>
          <w:sz w:val="20"/>
          <w:szCs w:val="20"/>
          <w:vertAlign w:val="superscript"/>
        </w:rPr>
        <w:t>st</w:t>
      </w:r>
      <w:r>
        <w:rPr>
          <w:rFonts w:ascii="Times New Roman" w:hAnsi="Times New Roman" w:cs="Times New Roman"/>
          <w:sz w:val="20"/>
          <w:szCs w:val="20"/>
        </w:rPr>
        <w:t xml:space="preserve"> March 2022</w:t>
      </w:r>
      <w:r w:rsidR="00CD2F0D">
        <w:rPr>
          <w:rFonts w:ascii="Times New Roman" w:hAnsi="Times New Roman" w:cs="Times New Roman"/>
          <w:sz w:val="20"/>
          <w:szCs w:val="20"/>
        </w:rPr>
        <w:t>.</w:t>
      </w:r>
    </w:p>
    <w:p w14:paraId="51912458" w14:textId="77777777" w:rsidR="005369A2" w:rsidRPr="003A15F2" w:rsidRDefault="005369A2" w:rsidP="005369A2">
      <w:pPr>
        <w:rPr>
          <w:rFonts w:ascii="Times New Roman" w:hAnsi="Times New Roman" w:cs="Times New Roman"/>
          <w:sz w:val="20"/>
          <w:szCs w:val="20"/>
        </w:rPr>
      </w:pPr>
      <w:r w:rsidRPr="003A15F2">
        <w:rPr>
          <w:rFonts w:ascii="Times New Roman" w:hAnsi="Times New Roman" w:cs="Times New Roman"/>
          <w:sz w:val="20"/>
          <w:szCs w:val="20"/>
        </w:rPr>
        <w:t>The following risks are taken into account in the remuneration processes:</w:t>
      </w:r>
    </w:p>
    <w:p w14:paraId="482C14AB" w14:textId="77777777" w:rsidR="005369A2" w:rsidRPr="003A15F2" w:rsidRDefault="005369A2" w:rsidP="005369A2">
      <w:pPr>
        <w:pStyle w:val="ListParagraph"/>
        <w:numPr>
          <w:ilvl w:val="0"/>
          <w:numId w:val="24"/>
        </w:numPr>
        <w:rPr>
          <w:rFonts w:ascii="Times New Roman" w:hAnsi="Times New Roman" w:cs="Times New Roman"/>
          <w:sz w:val="20"/>
          <w:szCs w:val="20"/>
        </w:rPr>
      </w:pPr>
      <w:r w:rsidRPr="003A15F2">
        <w:rPr>
          <w:rFonts w:ascii="Times New Roman" w:hAnsi="Times New Roman" w:cs="Times New Roman"/>
          <w:sz w:val="20"/>
          <w:szCs w:val="20"/>
        </w:rPr>
        <w:t>Risk of losing employees due to remuneration that is below the market salaries</w:t>
      </w:r>
    </w:p>
    <w:p w14:paraId="5E21AFA6" w14:textId="77777777" w:rsidR="005369A2" w:rsidRPr="003A15F2" w:rsidRDefault="005369A2" w:rsidP="005369A2">
      <w:pPr>
        <w:pStyle w:val="ListParagraph"/>
        <w:numPr>
          <w:ilvl w:val="0"/>
          <w:numId w:val="24"/>
        </w:numPr>
        <w:rPr>
          <w:rFonts w:ascii="Times New Roman" w:hAnsi="Times New Roman" w:cs="Times New Roman"/>
          <w:sz w:val="20"/>
          <w:szCs w:val="20"/>
        </w:rPr>
      </w:pPr>
      <w:r w:rsidRPr="003A15F2">
        <w:rPr>
          <w:rFonts w:ascii="Times New Roman" w:hAnsi="Times New Roman" w:cs="Times New Roman"/>
          <w:sz w:val="20"/>
          <w:szCs w:val="20"/>
        </w:rPr>
        <w:t>Unfair and skewed salary structures</w:t>
      </w:r>
    </w:p>
    <w:p w14:paraId="4D5C50BD" w14:textId="77777777" w:rsidR="005369A2" w:rsidRPr="003A15F2" w:rsidRDefault="005369A2" w:rsidP="005369A2">
      <w:pPr>
        <w:pStyle w:val="ListParagraph"/>
        <w:numPr>
          <w:ilvl w:val="0"/>
          <w:numId w:val="24"/>
        </w:numPr>
        <w:rPr>
          <w:rFonts w:ascii="Times New Roman" w:hAnsi="Times New Roman" w:cs="Times New Roman"/>
          <w:sz w:val="20"/>
          <w:szCs w:val="20"/>
        </w:rPr>
      </w:pPr>
      <w:r w:rsidRPr="003A15F2">
        <w:rPr>
          <w:rFonts w:ascii="Times New Roman" w:hAnsi="Times New Roman" w:cs="Times New Roman"/>
          <w:sz w:val="20"/>
          <w:szCs w:val="20"/>
        </w:rPr>
        <w:t>Scare skills</w:t>
      </w:r>
    </w:p>
    <w:p w14:paraId="69924FE7" w14:textId="77777777" w:rsidR="005369A2" w:rsidRPr="003A15F2" w:rsidRDefault="005369A2" w:rsidP="005369A2">
      <w:pPr>
        <w:rPr>
          <w:rFonts w:ascii="Times New Roman" w:hAnsi="Times New Roman" w:cs="Times New Roman"/>
          <w:sz w:val="20"/>
          <w:szCs w:val="20"/>
        </w:rPr>
      </w:pPr>
      <w:r w:rsidRPr="003A15F2">
        <w:rPr>
          <w:rFonts w:ascii="Times New Roman" w:hAnsi="Times New Roman" w:cs="Times New Roman"/>
          <w:sz w:val="20"/>
          <w:szCs w:val="20"/>
        </w:rPr>
        <w:t>The bank has taken the following measures to account for these risks, which include internal equity in salary bands and lower quartile of the salary survey. These measures put in place ensure competitive and fair reward.</w:t>
      </w:r>
    </w:p>
    <w:p w14:paraId="2D104AAE" w14:textId="77777777" w:rsidR="005369A2" w:rsidRPr="003A15F2" w:rsidRDefault="005369A2" w:rsidP="005369A2">
      <w:pPr>
        <w:rPr>
          <w:rFonts w:ascii="Times New Roman" w:hAnsi="Times New Roman" w:cs="Times New Roman"/>
          <w:b/>
          <w:sz w:val="20"/>
          <w:szCs w:val="20"/>
        </w:rPr>
      </w:pPr>
      <w:r w:rsidRPr="003A15F2">
        <w:rPr>
          <w:rFonts w:ascii="Times New Roman" w:hAnsi="Times New Roman" w:cs="Times New Roman"/>
          <w:b/>
          <w:sz w:val="20"/>
          <w:szCs w:val="20"/>
        </w:rPr>
        <w:t xml:space="preserve">Linking Performance to Remuneration </w:t>
      </w:r>
    </w:p>
    <w:p w14:paraId="650DAF0E" w14:textId="77777777" w:rsidR="005369A2" w:rsidRPr="003A15F2" w:rsidRDefault="005369A2" w:rsidP="005369A2">
      <w:pPr>
        <w:rPr>
          <w:rFonts w:ascii="Times New Roman" w:hAnsi="Times New Roman" w:cs="Times New Roman"/>
          <w:sz w:val="20"/>
          <w:szCs w:val="20"/>
        </w:rPr>
      </w:pPr>
      <w:r w:rsidRPr="003A15F2">
        <w:rPr>
          <w:rFonts w:ascii="Times New Roman" w:hAnsi="Times New Roman" w:cs="Times New Roman"/>
          <w:sz w:val="20"/>
          <w:szCs w:val="20"/>
        </w:rPr>
        <w:t xml:space="preserve">The bank uses the </w:t>
      </w:r>
      <w:r w:rsidRPr="00A56AAC">
        <w:rPr>
          <w:rFonts w:ascii="Times New Roman" w:hAnsi="Times New Roman" w:cs="Times New Roman"/>
          <w:sz w:val="20"/>
          <w:szCs w:val="20"/>
        </w:rPr>
        <w:t>Performance Management System</w:t>
      </w:r>
      <w:r w:rsidRPr="003A15F2">
        <w:rPr>
          <w:rFonts w:ascii="Times New Roman" w:hAnsi="Times New Roman" w:cs="Times New Roman"/>
          <w:sz w:val="20"/>
          <w:szCs w:val="20"/>
        </w:rPr>
        <w:t xml:space="preserve"> that uses a </w:t>
      </w:r>
      <w:r w:rsidRPr="00A56AAC">
        <w:rPr>
          <w:rFonts w:ascii="Times New Roman" w:hAnsi="Times New Roman" w:cs="Times New Roman"/>
          <w:sz w:val="20"/>
          <w:szCs w:val="20"/>
        </w:rPr>
        <w:t>6-point rating</w:t>
      </w:r>
      <w:r w:rsidRPr="003A15F2">
        <w:rPr>
          <w:rFonts w:ascii="Times New Roman" w:hAnsi="Times New Roman" w:cs="Times New Roman"/>
          <w:sz w:val="20"/>
          <w:szCs w:val="20"/>
        </w:rPr>
        <w:t xml:space="preserve"> scale to measure performance and ultimately used for remuneration considerations.</w:t>
      </w:r>
      <w:r>
        <w:rPr>
          <w:rFonts w:ascii="Times New Roman" w:hAnsi="Times New Roman" w:cs="Times New Roman"/>
          <w:sz w:val="20"/>
          <w:szCs w:val="20"/>
        </w:rPr>
        <w:t xml:space="preserve"> The Performance Management System is guided by the Performance Management Policy dully approved by the Board Appointment and Renumeration Policy.</w:t>
      </w:r>
    </w:p>
    <w:p w14:paraId="59018E9E" w14:textId="77777777" w:rsidR="005369A2" w:rsidRPr="003A15F2" w:rsidRDefault="005369A2" w:rsidP="005369A2">
      <w:pPr>
        <w:rPr>
          <w:rFonts w:ascii="Times New Roman" w:hAnsi="Times New Roman" w:cs="Times New Roman"/>
          <w:b/>
          <w:sz w:val="20"/>
          <w:szCs w:val="20"/>
        </w:rPr>
      </w:pPr>
      <w:r w:rsidRPr="003A15F2">
        <w:rPr>
          <w:rFonts w:ascii="Times New Roman" w:hAnsi="Times New Roman" w:cs="Times New Roman"/>
          <w:b/>
          <w:sz w:val="20"/>
          <w:szCs w:val="20"/>
        </w:rPr>
        <w:t xml:space="preserve">(b) Quantitative Disclosures </w:t>
      </w:r>
    </w:p>
    <w:tbl>
      <w:tblPr>
        <w:tblStyle w:val="TableGrid"/>
        <w:tblpPr w:leftFromText="180" w:rightFromText="180" w:vertAnchor="text" w:horzAnchor="margin" w:tblpY="397"/>
        <w:tblW w:w="0" w:type="auto"/>
        <w:tblLook w:val="04A0" w:firstRow="1" w:lastRow="0" w:firstColumn="1" w:lastColumn="0" w:noHBand="0" w:noVBand="1"/>
      </w:tblPr>
      <w:tblGrid>
        <w:gridCol w:w="3100"/>
        <w:gridCol w:w="3005"/>
        <w:gridCol w:w="2911"/>
      </w:tblGrid>
      <w:tr w:rsidR="005369A2" w:rsidRPr="003A15F2" w14:paraId="547696FD" w14:textId="77777777" w:rsidTr="007A7FFD">
        <w:tc>
          <w:tcPr>
            <w:tcW w:w="3173" w:type="dxa"/>
            <w:shd w:val="clear" w:color="auto" w:fill="000000" w:themeFill="text1"/>
          </w:tcPr>
          <w:p w14:paraId="2BC917C5" w14:textId="77777777" w:rsidR="005369A2" w:rsidRPr="003A15F2" w:rsidRDefault="005369A2" w:rsidP="007A7FFD">
            <w:pPr>
              <w:rPr>
                <w:rFonts w:ascii="Times New Roman" w:hAnsi="Times New Roman" w:cs="Times New Roman"/>
                <w:b/>
                <w:color w:val="FFFFFF" w:themeColor="background1"/>
                <w:sz w:val="20"/>
                <w:szCs w:val="20"/>
              </w:rPr>
            </w:pPr>
            <w:r w:rsidRPr="003A15F2">
              <w:rPr>
                <w:rFonts w:ascii="Times New Roman" w:hAnsi="Times New Roman" w:cs="Times New Roman"/>
                <w:b/>
                <w:color w:val="FFFFFF" w:themeColor="background1"/>
                <w:sz w:val="20"/>
                <w:szCs w:val="20"/>
              </w:rPr>
              <w:t xml:space="preserve">As at </w:t>
            </w:r>
            <w:r>
              <w:rPr>
                <w:rFonts w:ascii="Times New Roman" w:hAnsi="Times New Roman" w:cs="Times New Roman"/>
                <w:b/>
                <w:color w:val="FFFFFF" w:themeColor="background1"/>
                <w:sz w:val="20"/>
                <w:szCs w:val="20"/>
              </w:rPr>
              <w:t>31st March 2022</w:t>
            </w:r>
          </w:p>
        </w:tc>
        <w:tc>
          <w:tcPr>
            <w:tcW w:w="3079" w:type="dxa"/>
            <w:shd w:val="clear" w:color="auto" w:fill="000000" w:themeFill="text1"/>
          </w:tcPr>
          <w:p w14:paraId="5CA1A845" w14:textId="77777777" w:rsidR="005369A2" w:rsidRPr="003A15F2" w:rsidRDefault="005369A2" w:rsidP="007A7FFD">
            <w:pPr>
              <w:rPr>
                <w:rFonts w:ascii="Times New Roman" w:hAnsi="Times New Roman" w:cs="Times New Roman"/>
                <w:b/>
                <w:color w:val="FFFFFF" w:themeColor="background1"/>
                <w:sz w:val="20"/>
                <w:szCs w:val="20"/>
              </w:rPr>
            </w:pPr>
            <w:r w:rsidRPr="003A15F2">
              <w:rPr>
                <w:rFonts w:ascii="Times New Roman" w:hAnsi="Times New Roman" w:cs="Times New Roman"/>
                <w:b/>
                <w:color w:val="FFFFFF" w:themeColor="background1"/>
                <w:sz w:val="20"/>
                <w:szCs w:val="20"/>
              </w:rPr>
              <w:t>Number of Employees</w:t>
            </w:r>
          </w:p>
        </w:tc>
        <w:tc>
          <w:tcPr>
            <w:tcW w:w="2990" w:type="dxa"/>
            <w:shd w:val="clear" w:color="auto" w:fill="000000" w:themeFill="text1"/>
          </w:tcPr>
          <w:p w14:paraId="40C158C0" w14:textId="77777777" w:rsidR="005369A2" w:rsidRPr="003A15F2" w:rsidRDefault="005369A2" w:rsidP="007A7FFD">
            <w:pPr>
              <w:rPr>
                <w:rFonts w:ascii="Times New Roman" w:hAnsi="Times New Roman" w:cs="Times New Roman"/>
                <w:b/>
                <w:color w:val="FFFFFF" w:themeColor="background1"/>
                <w:sz w:val="20"/>
                <w:szCs w:val="20"/>
              </w:rPr>
            </w:pPr>
            <w:r w:rsidRPr="003A15F2">
              <w:rPr>
                <w:rFonts w:ascii="Times New Roman" w:hAnsi="Times New Roman" w:cs="Times New Roman"/>
                <w:b/>
                <w:color w:val="FFFFFF" w:themeColor="background1"/>
                <w:sz w:val="20"/>
                <w:szCs w:val="20"/>
              </w:rPr>
              <w:t>Amount (P’000)</w:t>
            </w:r>
          </w:p>
        </w:tc>
      </w:tr>
      <w:tr w:rsidR="005369A2" w:rsidRPr="003A15F2" w14:paraId="42E9188C" w14:textId="77777777" w:rsidTr="007A7FFD">
        <w:tc>
          <w:tcPr>
            <w:tcW w:w="3173" w:type="dxa"/>
          </w:tcPr>
          <w:p w14:paraId="648B4E8F" w14:textId="77777777" w:rsidR="005369A2" w:rsidRPr="003A15F2" w:rsidRDefault="005369A2" w:rsidP="007A7FFD">
            <w:pPr>
              <w:rPr>
                <w:rFonts w:ascii="Times New Roman" w:hAnsi="Times New Roman" w:cs="Times New Roman"/>
                <w:sz w:val="20"/>
                <w:szCs w:val="20"/>
              </w:rPr>
            </w:pPr>
            <w:r w:rsidRPr="003A15F2">
              <w:rPr>
                <w:rFonts w:ascii="Times New Roman" w:hAnsi="Times New Roman" w:cs="Times New Roman"/>
                <w:sz w:val="20"/>
                <w:szCs w:val="20"/>
              </w:rPr>
              <w:lastRenderedPageBreak/>
              <w:t>Number of non-senior employees who received variable remuneration during the Financial year</w:t>
            </w:r>
          </w:p>
        </w:tc>
        <w:tc>
          <w:tcPr>
            <w:tcW w:w="3079" w:type="dxa"/>
          </w:tcPr>
          <w:p w14:paraId="4F51BE4E" w14:textId="77777777" w:rsidR="005369A2" w:rsidRPr="003A15F2" w:rsidRDefault="005369A2" w:rsidP="007A7FFD">
            <w:pPr>
              <w:jc w:val="right"/>
              <w:rPr>
                <w:rFonts w:ascii="Times New Roman" w:hAnsi="Times New Roman" w:cs="Times New Roman"/>
                <w:sz w:val="20"/>
                <w:szCs w:val="20"/>
              </w:rPr>
            </w:pPr>
            <w:r>
              <w:rPr>
                <w:rFonts w:ascii="Times New Roman" w:hAnsi="Times New Roman" w:cs="Times New Roman"/>
                <w:sz w:val="20"/>
                <w:szCs w:val="20"/>
              </w:rPr>
              <w:t>189</w:t>
            </w:r>
          </w:p>
        </w:tc>
        <w:tc>
          <w:tcPr>
            <w:tcW w:w="2990" w:type="dxa"/>
          </w:tcPr>
          <w:p w14:paraId="0DFEA7EE" w14:textId="1F13DC00" w:rsidR="005369A2" w:rsidRPr="003A15F2" w:rsidRDefault="005369A2" w:rsidP="007A7FFD">
            <w:pPr>
              <w:jc w:val="right"/>
              <w:rPr>
                <w:rFonts w:ascii="Times New Roman" w:hAnsi="Times New Roman" w:cs="Times New Roman"/>
                <w:sz w:val="20"/>
                <w:szCs w:val="20"/>
              </w:rPr>
            </w:pPr>
            <w:r>
              <w:rPr>
                <w:rFonts w:ascii="Times New Roman" w:hAnsi="Times New Roman" w:cs="Times New Roman"/>
                <w:sz w:val="20"/>
                <w:szCs w:val="20"/>
              </w:rPr>
              <w:t>2, 470</w:t>
            </w:r>
          </w:p>
          <w:p w14:paraId="7D7D1705" w14:textId="77777777" w:rsidR="005369A2" w:rsidRPr="003A15F2" w:rsidRDefault="005369A2" w:rsidP="007A7FFD">
            <w:pPr>
              <w:jc w:val="right"/>
              <w:rPr>
                <w:rFonts w:ascii="Times New Roman" w:hAnsi="Times New Roman" w:cs="Times New Roman"/>
                <w:sz w:val="20"/>
                <w:szCs w:val="20"/>
              </w:rPr>
            </w:pPr>
          </w:p>
        </w:tc>
      </w:tr>
      <w:tr w:rsidR="005369A2" w:rsidRPr="003A15F2" w14:paraId="56B5F4BF" w14:textId="77777777" w:rsidTr="007A7FFD">
        <w:tc>
          <w:tcPr>
            <w:tcW w:w="3173" w:type="dxa"/>
          </w:tcPr>
          <w:p w14:paraId="035F84E9" w14:textId="77777777" w:rsidR="005369A2" w:rsidRPr="003A15F2" w:rsidRDefault="005369A2" w:rsidP="007A7FFD">
            <w:pPr>
              <w:rPr>
                <w:rFonts w:ascii="Times New Roman" w:hAnsi="Times New Roman" w:cs="Times New Roman"/>
                <w:sz w:val="20"/>
                <w:szCs w:val="20"/>
              </w:rPr>
            </w:pPr>
            <w:r w:rsidRPr="003A15F2">
              <w:rPr>
                <w:rFonts w:ascii="Times New Roman" w:hAnsi="Times New Roman" w:cs="Times New Roman"/>
                <w:sz w:val="20"/>
                <w:szCs w:val="20"/>
              </w:rPr>
              <w:t>Number of senior management who received variable remuneration during the financial year</w:t>
            </w:r>
          </w:p>
        </w:tc>
        <w:tc>
          <w:tcPr>
            <w:tcW w:w="3079" w:type="dxa"/>
          </w:tcPr>
          <w:p w14:paraId="027A8E27" w14:textId="77777777" w:rsidR="005369A2" w:rsidRDefault="005369A2" w:rsidP="007A7FFD">
            <w:pPr>
              <w:jc w:val="right"/>
              <w:rPr>
                <w:rFonts w:ascii="Times New Roman" w:hAnsi="Times New Roman" w:cs="Times New Roman"/>
                <w:sz w:val="20"/>
                <w:szCs w:val="20"/>
              </w:rPr>
            </w:pPr>
            <w:r>
              <w:rPr>
                <w:rFonts w:ascii="Times New Roman" w:hAnsi="Times New Roman" w:cs="Times New Roman"/>
                <w:sz w:val="20"/>
                <w:szCs w:val="20"/>
              </w:rPr>
              <w:t>14</w:t>
            </w:r>
          </w:p>
          <w:p w14:paraId="32AC27CA" w14:textId="77777777" w:rsidR="005369A2" w:rsidRPr="003A15F2" w:rsidRDefault="005369A2" w:rsidP="007A7FFD">
            <w:pPr>
              <w:jc w:val="right"/>
              <w:rPr>
                <w:rFonts w:ascii="Times New Roman" w:hAnsi="Times New Roman" w:cs="Times New Roman"/>
                <w:sz w:val="20"/>
                <w:szCs w:val="20"/>
              </w:rPr>
            </w:pPr>
          </w:p>
        </w:tc>
        <w:tc>
          <w:tcPr>
            <w:tcW w:w="2990" w:type="dxa"/>
          </w:tcPr>
          <w:p w14:paraId="117F3E04" w14:textId="57EBBCD9" w:rsidR="005369A2" w:rsidRDefault="005369A2" w:rsidP="007A7FFD">
            <w:pPr>
              <w:jc w:val="right"/>
              <w:rPr>
                <w:rFonts w:ascii="Times New Roman" w:hAnsi="Times New Roman" w:cs="Times New Roman"/>
                <w:sz w:val="20"/>
                <w:szCs w:val="20"/>
              </w:rPr>
            </w:pPr>
            <w:r>
              <w:rPr>
                <w:rFonts w:ascii="Times New Roman" w:hAnsi="Times New Roman" w:cs="Times New Roman"/>
                <w:sz w:val="20"/>
                <w:szCs w:val="20"/>
              </w:rPr>
              <w:t>5, 400</w:t>
            </w:r>
          </w:p>
          <w:p w14:paraId="597ACA76" w14:textId="77777777" w:rsidR="005369A2" w:rsidRPr="003A15F2" w:rsidRDefault="005369A2" w:rsidP="007A7FFD">
            <w:pPr>
              <w:jc w:val="right"/>
              <w:rPr>
                <w:rFonts w:ascii="Times New Roman" w:hAnsi="Times New Roman" w:cs="Times New Roman"/>
                <w:sz w:val="20"/>
                <w:szCs w:val="20"/>
              </w:rPr>
            </w:pPr>
          </w:p>
        </w:tc>
      </w:tr>
      <w:tr w:rsidR="005369A2" w:rsidRPr="003A15F2" w14:paraId="1DB03009" w14:textId="77777777" w:rsidTr="007A7FFD">
        <w:tc>
          <w:tcPr>
            <w:tcW w:w="3173" w:type="dxa"/>
          </w:tcPr>
          <w:p w14:paraId="1D7B2219" w14:textId="77777777" w:rsidR="005369A2" w:rsidRPr="003A15F2" w:rsidRDefault="005369A2" w:rsidP="007A7FFD">
            <w:pPr>
              <w:rPr>
                <w:rFonts w:ascii="Times New Roman" w:hAnsi="Times New Roman" w:cs="Times New Roman"/>
                <w:sz w:val="20"/>
                <w:szCs w:val="20"/>
              </w:rPr>
            </w:pPr>
            <w:r w:rsidRPr="003A15F2">
              <w:rPr>
                <w:rFonts w:ascii="Times New Roman" w:hAnsi="Times New Roman" w:cs="Times New Roman"/>
                <w:sz w:val="20"/>
                <w:szCs w:val="20"/>
              </w:rPr>
              <w:t>Number and total amount of sign-on awards made during the financial year</w:t>
            </w:r>
          </w:p>
        </w:tc>
        <w:tc>
          <w:tcPr>
            <w:tcW w:w="3079" w:type="dxa"/>
          </w:tcPr>
          <w:p w14:paraId="17D7E357" w14:textId="77777777" w:rsidR="005369A2" w:rsidRPr="003A15F2" w:rsidRDefault="005369A2" w:rsidP="007A7FFD">
            <w:pPr>
              <w:jc w:val="right"/>
              <w:rPr>
                <w:rFonts w:ascii="Times New Roman" w:hAnsi="Times New Roman" w:cs="Times New Roman"/>
                <w:sz w:val="20"/>
                <w:szCs w:val="20"/>
              </w:rPr>
            </w:pPr>
            <w:r>
              <w:rPr>
                <w:rFonts w:ascii="Times New Roman" w:hAnsi="Times New Roman" w:cs="Times New Roman"/>
                <w:sz w:val="20"/>
                <w:szCs w:val="20"/>
              </w:rPr>
              <w:t>-</w:t>
            </w:r>
          </w:p>
        </w:tc>
        <w:tc>
          <w:tcPr>
            <w:tcW w:w="2990" w:type="dxa"/>
          </w:tcPr>
          <w:p w14:paraId="5039344E" w14:textId="77777777" w:rsidR="005369A2" w:rsidRPr="003A15F2" w:rsidRDefault="005369A2" w:rsidP="007A7FFD">
            <w:pPr>
              <w:jc w:val="right"/>
              <w:rPr>
                <w:rFonts w:ascii="Times New Roman" w:hAnsi="Times New Roman" w:cs="Times New Roman"/>
                <w:sz w:val="20"/>
                <w:szCs w:val="20"/>
              </w:rPr>
            </w:pPr>
            <w:r>
              <w:rPr>
                <w:rFonts w:ascii="Times New Roman" w:hAnsi="Times New Roman" w:cs="Times New Roman"/>
                <w:sz w:val="20"/>
                <w:szCs w:val="20"/>
              </w:rPr>
              <w:t>-</w:t>
            </w:r>
          </w:p>
          <w:p w14:paraId="3D987AEA" w14:textId="77777777" w:rsidR="005369A2" w:rsidRPr="003A15F2" w:rsidRDefault="005369A2" w:rsidP="007A7FFD">
            <w:pPr>
              <w:jc w:val="right"/>
              <w:rPr>
                <w:rFonts w:ascii="Times New Roman" w:hAnsi="Times New Roman" w:cs="Times New Roman"/>
                <w:sz w:val="20"/>
                <w:szCs w:val="20"/>
              </w:rPr>
            </w:pPr>
          </w:p>
        </w:tc>
      </w:tr>
      <w:tr w:rsidR="005369A2" w:rsidRPr="003A15F2" w14:paraId="1559EF07" w14:textId="77777777" w:rsidTr="007A7FFD">
        <w:tc>
          <w:tcPr>
            <w:tcW w:w="3173" w:type="dxa"/>
          </w:tcPr>
          <w:p w14:paraId="0B2F989F" w14:textId="77777777" w:rsidR="005369A2" w:rsidRPr="003A15F2" w:rsidRDefault="005369A2" w:rsidP="007A7FFD">
            <w:pPr>
              <w:rPr>
                <w:rFonts w:ascii="Times New Roman" w:hAnsi="Times New Roman" w:cs="Times New Roman"/>
                <w:sz w:val="20"/>
                <w:szCs w:val="20"/>
              </w:rPr>
            </w:pPr>
            <w:r w:rsidRPr="003A15F2">
              <w:rPr>
                <w:rFonts w:ascii="Times New Roman" w:hAnsi="Times New Roman" w:cs="Times New Roman"/>
                <w:sz w:val="20"/>
                <w:szCs w:val="20"/>
              </w:rPr>
              <w:t>Number and total amount of severance payments made during the year</w:t>
            </w:r>
          </w:p>
        </w:tc>
        <w:tc>
          <w:tcPr>
            <w:tcW w:w="3079" w:type="dxa"/>
          </w:tcPr>
          <w:p w14:paraId="3BFECCF3" w14:textId="77777777" w:rsidR="005369A2" w:rsidRDefault="005369A2" w:rsidP="007A7FFD">
            <w:pPr>
              <w:jc w:val="right"/>
              <w:rPr>
                <w:rFonts w:ascii="Times New Roman" w:hAnsi="Times New Roman" w:cs="Times New Roman"/>
                <w:sz w:val="20"/>
                <w:szCs w:val="20"/>
              </w:rPr>
            </w:pPr>
            <w:r>
              <w:rPr>
                <w:rFonts w:ascii="Times New Roman" w:hAnsi="Times New Roman" w:cs="Times New Roman"/>
                <w:sz w:val="20"/>
                <w:szCs w:val="20"/>
              </w:rPr>
              <w:t>11</w:t>
            </w:r>
          </w:p>
          <w:p w14:paraId="3909612B" w14:textId="77777777" w:rsidR="005369A2" w:rsidRPr="003A15F2" w:rsidRDefault="005369A2" w:rsidP="007A7FFD">
            <w:pPr>
              <w:jc w:val="right"/>
              <w:rPr>
                <w:rFonts w:ascii="Times New Roman" w:hAnsi="Times New Roman" w:cs="Times New Roman"/>
                <w:sz w:val="20"/>
                <w:szCs w:val="20"/>
              </w:rPr>
            </w:pPr>
          </w:p>
        </w:tc>
        <w:tc>
          <w:tcPr>
            <w:tcW w:w="2990" w:type="dxa"/>
          </w:tcPr>
          <w:p w14:paraId="37E16EC3" w14:textId="058995A0" w:rsidR="005369A2" w:rsidRPr="003A15F2" w:rsidRDefault="005369A2" w:rsidP="007A7FFD">
            <w:pPr>
              <w:jc w:val="right"/>
              <w:rPr>
                <w:rFonts w:ascii="Times New Roman" w:hAnsi="Times New Roman" w:cs="Times New Roman"/>
                <w:sz w:val="20"/>
                <w:szCs w:val="20"/>
              </w:rPr>
            </w:pPr>
            <w:r>
              <w:rPr>
                <w:rFonts w:ascii="Times New Roman" w:hAnsi="Times New Roman" w:cs="Times New Roman"/>
                <w:sz w:val="20"/>
                <w:szCs w:val="20"/>
              </w:rPr>
              <w:t>2, 845</w:t>
            </w:r>
          </w:p>
          <w:p w14:paraId="5E62F4E5" w14:textId="77777777" w:rsidR="005369A2" w:rsidRPr="003A15F2" w:rsidRDefault="005369A2" w:rsidP="007A7FFD">
            <w:pPr>
              <w:jc w:val="right"/>
              <w:rPr>
                <w:rFonts w:ascii="Times New Roman" w:hAnsi="Times New Roman" w:cs="Times New Roman"/>
                <w:sz w:val="20"/>
                <w:szCs w:val="20"/>
              </w:rPr>
            </w:pPr>
          </w:p>
        </w:tc>
      </w:tr>
      <w:tr w:rsidR="005369A2" w:rsidRPr="003A15F2" w14:paraId="178EF869" w14:textId="77777777" w:rsidTr="007A7FFD">
        <w:tc>
          <w:tcPr>
            <w:tcW w:w="3173" w:type="dxa"/>
          </w:tcPr>
          <w:p w14:paraId="3633A05B" w14:textId="77777777" w:rsidR="005369A2" w:rsidRPr="003A15F2" w:rsidRDefault="005369A2" w:rsidP="007A7FFD">
            <w:pPr>
              <w:rPr>
                <w:rFonts w:ascii="Times New Roman" w:hAnsi="Times New Roman" w:cs="Times New Roman"/>
                <w:sz w:val="20"/>
                <w:szCs w:val="20"/>
              </w:rPr>
            </w:pPr>
            <w:r w:rsidRPr="003A15F2">
              <w:rPr>
                <w:rFonts w:ascii="Times New Roman" w:hAnsi="Times New Roman" w:cs="Times New Roman"/>
                <w:sz w:val="20"/>
                <w:szCs w:val="20"/>
              </w:rPr>
              <w:t>Total pay for non-senior managers</w:t>
            </w:r>
          </w:p>
        </w:tc>
        <w:tc>
          <w:tcPr>
            <w:tcW w:w="3079" w:type="dxa"/>
          </w:tcPr>
          <w:p w14:paraId="759BA177" w14:textId="15CE1BF9" w:rsidR="005369A2" w:rsidRPr="003A15F2" w:rsidRDefault="005873DE" w:rsidP="007A7FFD">
            <w:pPr>
              <w:jc w:val="right"/>
              <w:rPr>
                <w:rFonts w:ascii="Times New Roman" w:hAnsi="Times New Roman" w:cs="Times New Roman"/>
                <w:sz w:val="20"/>
                <w:szCs w:val="20"/>
              </w:rPr>
            </w:pPr>
            <w:r>
              <w:rPr>
                <w:rFonts w:ascii="Times New Roman" w:hAnsi="Times New Roman" w:cs="Times New Roman"/>
                <w:sz w:val="20"/>
                <w:szCs w:val="20"/>
              </w:rPr>
              <w:t>189</w:t>
            </w:r>
          </w:p>
        </w:tc>
        <w:tc>
          <w:tcPr>
            <w:tcW w:w="2990" w:type="dxa"/>
          </w:tcPr>
          <w:p w14:paraId="6E8E4D56" w14:textId="0C69FACE" w:rsidR="005369A2" w:rsidRDefault="005369A2" w:rsidP="007A7FFD">
            <w:pPr>
              <w:jc w:val="right"/>
              <w:rPr>
                <w:rFonts w:ascii="Times New Roman" w:hAnsi="Times New Roman" w:cs="Times New Roman"/>
                <w:sz w:val="20"/>
                <w:szCs w:val="20"/>
              </w:rPr>
            </w:pPr>
            <w:r>
              <w:rPr>
                <w:rFonts w:ascii="Times New Roman" w:hAnsi="Times New Roman" w:cs="Times New Roman"/>
                <w:sz w:val="20"/>
                <w:szCs w:val="20"/>
              </w:rPr>
              <w:t>11, 170</w:t>
            </w:r>
          </w:p>
          <w:p w14:paraId="6439C6DD" w14:textId="77777777" w:rsidR="005369A2" w:rsidRPr="003A15F2" w:rsidRDefault="005369A2" w:rsidP="007A7FFD">
            <w:pPr>
              <w:jc w:val="right"/>
              <w:rPr>
                <w:rFonts w:ascii="Times New Roman" w:hAnsi="Times New Roman" w:cs="Times New Roman"/>
                <w:sz w:val="20"/>
                <w:szCs w:val="20"/>
              </w:rPr>
            </w:pPr>
          </w:p>
        </w:tc>
      </w:tr>
      <w:tr w:rsidR="005369A2" w:rsidRPr="003A15F2" w14:paraId="7FE254DB" w14:textId="77777777" w:rsidTr="007A7FFD">
        <w:tc>
          <w:tcPr>
            <w:tcW w:w="3173" w:type="dxa"/>
          </w:tcPr>
          <w:p w14:paraId="62DC8BBD" w14:textId="77777777" w:rsidR="005369A2" w:rsidRPr="003A15F2" w:rsidRDefault="005369A2" w:rsidP="007A7FFD">
            <w:pPr>
              <w:rPr>
                <w:rFonts w:ascii="Times New Roman" w:hAnsi="Times New Roman" w:cs="Times New Roman"/>
                <w:sz w:val="20"/>
                <w:szCs w:val="20"/>
              </w:rPr>
            </w:pPr>
            <w:r w:rsidRPr="003A15F2">
              <w:rPr>
                <w:rFonts w:ascii="Times New Roman" w:hAnsi="Times New Roman" w:cs="Times New Roman"/>
                <w:sz w:val="20"/>
                <w:szCs w:val="20"/>
              </w:rPr>
              <w:t>Total pay for senior managers</w:t>
            </w:r>
          </w:p>
        </w:tc>
        <w:tc>
          <w:tcPr>
            <w:tcW w:w="3079" w:type="dxa"/>
          </w:tcPr>
          <w:p w14:paraId="41E9C952" w14:textId="77777777" w:rsidR="005369A2" w:rsidRPr="003A15F2" w:rsidRDefault="005369A2" w:rsidP="007A7FFD">
            <w:pPr>
              <w:jc w:val="right"/>
              <w:rPr>
                <w:rFonts w:ascii="Times New Roman" w:hAnsi="Times New Roman" w:cs="Times New Roman"/>
                <w:sz w:val="20"/>
                <w:szCs w:val="20"/>
              </w:rPr>
            </w:pPr>
            <w:r>
              <w:rPr>
                <w:rFonts w:ascii="Times New Roman" w:hAnsi="Times New Roman" w:cs="Times New Roman"/>
                <w:sz w:val="20"/>
                <w:szCs w:val="20"/>
              </w:rPr>
              <w:t>14</w:t>
            </w:r>
          </w:p>
        </w:tc>
        <w:tc>
          <w:tcPr>
            <w:tcW w:w="2990" w:type="dxa"/>
          </w:tcPr>
          <w:p w14:paraId="40DD2BB3" w14:textId="58C77877" w:rsidR="005369A2" w:rsidRPr="003A15F2" w:rsidRDefault="005369A2" w:rsidP="007A7FFD">
            <w:pPr>
              <w:jc w:val="right"/>
              <w:rPr>
                <w:rFonts w:ascii="Times New Roman" w:hAnsi="Times New Roman" w:cs="Times New Roman"/>
                <w:sz w:val="20"/>
                <w:szCs w:val="20"/>
              </w:rPr>
            </w:pPr>
            <w:r>
              <w:rPr>
                <w:rFonts w:ascii="Times New Roman" w:hAnsi="Times New Roman" w:cs="Times New Roman"/>
                <w:sz w:val="20"/>
                <w:szCs w:val="20"/>
              </w:rPr>
              <w:t>10, 580</w:t>
            </w:r>
          </w:p>
        </w:tc>
      </w:tr>
    </w:tbl>
    <w:p w14:paraId="28DE45CE" w14:textId="77777777" w:rsidR="005369A2" w:rsidRPr="003A15F2" w:rsidRDefault="005369A2" w:rsidP="005369A2">
      <w:pPr>
        <w:rPr>
          <w:rFonts w:ascii="Times New Roman" w:hAnsi="Times New Roman" w:cs="Times New Roman"/>
          <w:sz w:val="20"/>
          <w:szCs w:val="20"/>
        </w:rPr>
      </w:pPr>
    </w:p>
    <w:p w14:paraId="1CA37F03" w14:textId="12FE95D7" w:rsidR="005369A2" w:rsidRPr="003A15F2" w:rsidRDefault="005369A2" w:rsidP="005369A2">
      <w:pPr>
        <w:spacing w:after="0"/>
        <w:rPr>
          <w:rFonts w:ascii="Times New Roman" w:hAnsi="Times New Roman" w:cs="Times New Roman"/>
          <w:b/>
          <w:sz w:val="20"/>
          <w:szCs w:val="20"/>
        </w:rPr>
      </w:pPr>
      <w:r w:rsidRPr="003A15F2">
        <w:rPr>
          <w:rFonts w:ascii="Times New Roman" w:hAnsi="Times New Roman" w:cs="Times New Roman"/>
          <w:b/>
          <w:sz w:val="20"/>
          <w:szCs w:val="20"/>
        </w:rPr>
        <w:t xml:space="preserve"> Table 38 (a): SENIOR MANAGEMENT COMPENSATION</w:t>
      </w:r>
    </w:p>
    <w:tbl>
      <w:tblPr>
        <w:tblStyle w:val="TableGrid"/>
        <w:tblW w:w="0" w:type="auto"/>
        <w:tblLook w:val="04A0" w:firstRow="1" w:lastRow="0" w:firstColumn="1" w:lastColumn="0" w:noHBand="0" w:noVBand="1"/>
      </w:tblPr>
      <w:tblGrid>
        <w:gridCol w:w="3108"/>
        <w:gridCol w:w="3031"/>
        <w:gridCol w:w="2877"/>
      </w:tblGrid>
      <w:tr w:rsidR="005369A2" w:rsidRPr="003A15F2" w14:paraId="70A81D9B" w14:textId="77777777" w:rsidTr="007A7FFD">
        <w:tc>
          <w:tcPr>
            <w:tcW w:w="3179" w:type="dxa"/>
            <w:shd w:val="clear" w:color="auto" w:fill="000000" w:themeFill="text1"/>
          </w:tcPr>
          <w:p w14:paraId="474C5927" w14:textId="77777777" w:rsidR="005369A2" w:rsidRPr="003A15F2" w:rsidRDefault="005369A2" w:rsidP="007A7FFD">
            <w:pPr>
              <w:rPr>
                <w:rFonts w:ascii="Times New Roman" w:hAnsi="Times New Roman" w:cs="Times New Roman"/>
                <w:b/>
                <w:color w:val="FFFFFF" w:themeColor="background1"/>
                <w:sz w:val="20"/>
                <w:szCs w:val="20"/>
              </w:rPr>
            </w:pPr>
            <w:r w:rsidRPr="003A15F2">
              <w:rPr>
                <w:rFonts w:ascii="Times New Roman" w:hAnsi="Times New Roman" w:cs="Times New Roman"/>
                <w:b/>
                <w:color w:val="FFFFFF" w:themeColor="background1"/>
                <w:sz w:val="20"/>
                <w:szCs w:val="20"/>
              </w:rPr>
              <w:t>Total value of remuneration awards for the current fiscal year</w:t>
            </w:r>
          </w:p>
        </w:tc>
        <w:tc>
          <w:tcPr>
            <w:tcW w:w="3105" w:type="dxa"/>
            <w:shd w:val="clear" w:color="auto" w:fill="000000" w:themeFill="text1"/>
          </w:tcPr>
          <w:p w14:paraId="5704F672" w14:textId="77777777" w:rsidR="005369A2" w:rsidRPr="003A15F2" w:rsidRDefault="005369A2" w:rsidP="007A7FFD">
            <w:pPr>
              <w:rPr>
                <w:rFonts w:ascii="Times New Roman" w:hAnsi="Times New Roman" w:cs="Times New Roman"/>
                <w:b/>
                <w:color w:val="FFFFFF" w:themeColor="background1"/>
                <w:sz w:val="20"/>
                <w:szCs w:val="20"/>
              </w:rPr>
            </w:pPr>
            <w:r w:rsidRPr="003A15F2">
              <w:rPr>
                <w:rFonts w:ascii="Times New Roman" w:hAnsi="Times New Roman" w:cs="Times New Roman"/>
                <w:b/>
                <w:color w:val="FFFFFF" w:themeColor="background1"/>
                <w:sz w:val="20"/>
                <w:szCs w:val="20"/>
              </w:rPr>
              <w:t>Unrestricted (P’000)</w:t>
            </w:r>
          </w:p>
        </w:tc>
        <w:tc>
          <w:tcPr>
            <w:tcW w:w="2958" w:type="dxa"/>
            <w:shd w:val="clear" w:color="auto" w:fill="000000" w:themeFill="text1"/>
          </w:tcPr>
          <w:p w14:paraId="746F65FA" w14:textId="77777777" w:rsidR="005369A2" w:rsidRPr="003A15F2" w:rsidRDefault="005369A2" w:rsidP="007A7FFD">
            <w:pPr>
              <w:rPr>
                <w:rFonts w:ascii="Times New Roman" w:hAnsi="Times New Roman" w:cs="Times New Roman"/>
                <w:b/>
                <w:color w:val="FFFFFF" w:themeColor="background1"/>
                <w:sz w:val="20"/>
                <w:szCs w:val="20"/>
              </w:rPr>
            </w:pPr>
            <w:r w:rsidRPr="003A15F2">
              <w:rPr>
                <w:rFonts w:ascii="Times New Roman" w:hAnsi="Times New Roman" w:cs="Times New Roman"/>
                <w:b/>
                <w:color w:val="FFFFFF" w:themeColor="background1"/>
                <w:sz w:val="20"/>
                <w:szCs w:val="20"/>
              </w:rPr>
              <w:t>Deferred</w:t>
            </w:r>
          </w:p>
        </w:tc>
      </w:tr>
      <w:tr w:rsidR="005369A2" w:rsidRPr="003A15F2" w14:paraId="2A6BBF12" w14:textId="77777777" w:rsidTr="007A7FFD">
        <w:tc>
          <w:tcPr>
            <w:tcW w:w="3179" w:type="dxa"/>
          </w:tcPr>
          <w:p w14:paraId="7C84B1D3" w14:textId="77777777" w:rsidR="005369A2" w:rsidRPr="003A15F2" w:rsidRDefault="005369A2" w:rsidP="007A7FFD">
            <w:pPr>
              <w:rPr>
                <w:rFonts w:ascii="Times New Roman" w:hAnsi="Times New Roman" w:cs="Times New Roman"/>
                <w:b/>
                <w:sz w:val="20"/>
                <w:szCs w:val="20"/>
              </w:rPr>
            </w:pPr>
            <w:r w:rsidRPr="003A15F2">
              <w:rPr>
                <w:rFonts w:ascii="Times New Roman" w:hAnsi="Times New Roman" w:cs="Times New Roman"/>
                <w:b/>
                <w:sz w:val="20"/>
                <w:szCs w:val="20"/>
              </w:rPr>
              <w:t>Fixed Remuneration</w:t>
            </w:r>
          </w:p>
        </w:tc>
        <w:tc>
          <w:tcPr>
            <w:tcW w:w="3105" w:type="dxa"/>
          </w:tcPr>
          <w:p w14:paraId="09A6E8DC" w14:textId="77777777" w:rsidR="005369A2" w:rsidRPr="003A15F2" w:rsidRDefault="005369A2" w:rsidP="007A7FFD">
            <w:pPr>
              <w:rPr>
                <w:rFonts w:ascii="Times New Roman" w:hAnsi="Times New Roman" w:cs="Times New Roman"/>
                <w:sz w:val="20"/>
                <w:szCs w:val="20"/>
              </w:rPr>
            </w:pPr>
          </w:p>
        </w:tc>
        <w:tc>
          <w:tcPr>
            <w:tcW w:w="2958" w:type="dxa"/>
          </w:tcPr>
          <w:p w14:paraId="6340077A" w14:textId="77777777" w:rsidR="005369A2" w:rsidRPr="003A15F2" w:rsidRDefault="005369A2" w:rsidP="007A7FFD">
            <w:pPr>
              <w:rPr>
                <w:rFonts w:ascii="Times New Roman" w:hAnsi="Times New Roman" w:cs="Times New Roman"/>
                <w:sz w:val="20"/>
                <w:szCs w:val="20"/>
              </w:rPr>
            </w:pPr>
          </w:p>
        </w:tc>
      </w:tr>
      <w:tr w:rsidR="005369A2" w:rsidRPr="003A15F2" w14:paraId="56B1545D" w14:textId="77777777" w:rsidTr="007A7FFD">
        <w:tc>
          <w:tcPr>
            <w:tcW w:w="3179" w:type="dxa"/>
          </w:tcPr>
          <w:p w14:paraId="028DD0A9" w14:textId="77777777" w:rsidR="005369A2" w:rsidRPr="003A15F2" w:rsidRDefault="005369A2" w:rsidP="007A7FFD">
            <w:pPr>
              <w:rPr>
                <w:rFonts w:ascii="Times New Roman" w:hAnsi="Times New Roman" w:cs="Times New Roman"/>
                <w:sz w:val="20"/>
                <w:szCs w:val="20"/>
              </w:rPr>
            </w:pPr>
            <w:r w:rsidRPr="003A15F2">
              <w:rPr>
                <w:rFonts w:ascii="Times New Roman" w:hAnsi="Times New Roman" w:cs="Times New Roman"/>
                <w:sz w:val="20"/>
                <w:szCs w:val="20"/>
              </w:rPr>
              <w:t>Cash-based</w:t>
            </w:r>
          </w:p>
        </w:tc>
        <w:tc>
          <w:tcPr>
            <w:tcW w:w="3105" w:type="dxa"/>
          </w:tcPr>
          <w:p w14:paraId="158AA2F0" w14:textId="77655FF1" w:rsidR="005369A2" w:rsidRPr="003A15F2" w:rsidRDefault="005369A2" w:rsidP="007A7FFD">
            <w:pPr>
              <w:jc w:val="right"/>
              <w:rPr>
                <w:rFonts w:ascii="Times New Roman" w:hAnsi="Times New Roman" w:cs="Times New Roman"/>
                <w:sz w:val="20"/>
                <w:szCs w:val="20"/>
              </w:rPr>
            </w:pPr>
            <w:r>
              <w:rPr>
                <w:rFonts w:ascii="Times New Roman" w:hAnsi="Times New Roman" w:cs="Times New Roman"/>
                <w:sz w:val="20"/>
                <w:szCs w:val="20"/>
              </w:rPr>
              <w:t>10, 580</w:t>
            </w:r>
          </w:p>
        </w:tc>
        <w:tc>
          <w:tcPr>
            <w:tcW w:w="2958" w:type="dxa"/>
          </w:tcPr>
          <w:p w14:paraId="029985DE" w14:textId="77777777" w:rsidR="005369A2" w:rsidRPr="003A15F2" w:rsidRDefault="005369A2" w:rsidP="007A7FFD">
            <w:pPr>
              <w:jc w:val="right"/>
              <w:rPr>
                <w:rFonts w:ascii="Times New Roman" w:hAnsi="Times New Roman" w:cs="Times New Roman"/>
                <w:sz w:val="20"/>
                <w:szCs w:val="20"/>
              </w:rPr>
            </w:pPr>
            <w:r>
              <w:rPr>
                <w:rFonts w:ascii="Times New Roman" w:hAnsi="Times New Roman" w:cs="Times New Roman"/>
                <w:sz w:val="20"/>
                <w:szCs w:val="20"/>
              </w:rPr>
              <w:t>-</w:t>
            </w:r>
          </w:p>
        </w:tc>
      </w:tr>
      <w:tr w:rsidR="005369A2" w:rsidRPr="003A15F2" w14:paraId="1031CF5A" w14:textId="77777777" w:rsidTr="007A7FFD">
        <w:tc>
          <w:tcPr>
            <w:tcW w:w="3179" w:type="dxa"/>
          </w:tcPr>
          <w:p w14:paraId="6BFE4EE6" w14:textId="77777777" w:rsidR="005369A2" w:rsidRPr="003A15F2" w:rsidRDefault="005369A2" w:rsidP="007A7FFD">
            <w:pPr>
              <w:rPr>
                <w:rFonts w:ascii="Times New Roman" w:hAnsi="Times New Roman" w:cs="Times New Roman"/>
                <w:sz w:val="20"/>
                <w:szCs w:val="20"/>
              </w:rPr>
            </w:pPr>
            <w:r w:rsidRPr="003A15F2">
              <w:rPr>
                <w:rFonts w:ascii="Times New Roman" w:hAnsi="Times New Roman" w:cs="Times New Roman"/>
                <w:sz w:val="20"/>
                <w:szCs w:val="20"/>
              </w:rPr>
              <w:t>Shares and share-linked instruments</w:t>
            </w:r>
          </w:p>
        </w:tc>
        <w:tc>
          <w:tcPr>
            <w:tcW w:w="3105" w:type="dxa"/>
          </w:tcPr>
          <w:p w14:paraId="1625B99B" w14:textId="77777777" w:rsidR="005369A2" w:rsidRPr="003A15F2" w:rsidRDefault="005369A2" w:rsidP="007A7FFD">
            <w:pPr>
              <w:jc w:val="right"/>
              <w:rPr>
                <w:rFonts w:ascii="Times New Roman" w:hAnsi="Times New Roman" w:cs="Times New Roman"/>
                <w:sz w:val="20"/>
                <w:szCs w:val="20"/>
              </w:rPr>
            </w:pPr>
            <w:r>
              <w:rPr>
                <w:rFonts w:ascii="Times New Roman" w:hAnsi="Times New Roman" w:cs="Times New Roman"/>
                <w:sz w:val="20"/>
                <w:szCs w:val="20"/>
              </w:rPr>
              <w:t>-</w:t>
            </w:r>
          </w:p>
        </w:tc>
        <w:tc>
          <w:tcPr>
            <w:tcW w:w="2958" w:type="dxa"/>
          </w:tcPr>
          <w:p w14:paraId="404E2016" w14:textId="77777777" w:rsidR="005369A2" w:rsidRPr="003A15F2" w:rsidRDefault="005369A2" w:rsidP="007A7FFD">
            <w:pPr>
              <w:jc w:val="right"/>
              <w:rPr>
                <w:rFonts w:ascii="Times New Roman" w:hAnsi="Times New Roman" w:cs="Times New Roman"/>
                <w:sz w:val="20"/>
                <w:szCs w:val="20"/>
              </w:rPr>
            </w:pPr>
            <w:r>
              <w:rPr>
                <w:rFonts w:ascii="Times New Roman" w:hAnsi="Times New Roman" w:cs="Times New Roman"/>
                <w:sz w:val="20"/>
                <w:szCs w:val="20"/>
              </w:rPr>
              <w:t>-</w:t>
            </w:r>
          </w:p>
        </w:tc>
      </w:tr>
      <w:tr w:rsidR="005369A2" w:rsidRPr="003A15F2" w14:paraId="467A5C74" w14:textId="77777777" w:rsidTr="007A7FFD">
        <w:tc>
          <w:tcPr>
            <w:tcW w:w="3179" w:type="dxa"/>
          </w:tcPr>
          <w:p w14:paraId="61EC5DA0" w14:textId="77777777" w:rsidR="005369A2" w:rsidRPr="003A15F2" w:rsidRDefault="005369A2" w:rsidP="007A7FFD">
            <w:pPr>
              <w:rPr>
                <w:rFonts w:ascii="Times New Roman" w:hAnsi="Times New Roman" w:cs="Times New Roman"/>
                <w:sz w:val="20"/>
                <w:szCs w:val="20"/>
              </w:rPr>
            </w:pPr>
            <w:r w:rsidRPr="003A15F2">
              <w:rPr>
                <w:rFonts w:ascii="Times New Roman" w:hAnsi="Times New Roman" w:cs="Times New Roman"/>
                <w:sz w:val="20"/>
                <w:szCs w:val="20"/>
              </w:rPr>
              <w:t>Other</w:t>
            </w:r>
          </w:p>
        </w:tc>
        <w:tc>
          <w:tcPr>
            <w:tcW w:w="3105" w:type="dxa"/>
          </w:tcPr>
          <w:p w14:paraId="43D0AA3A" w14:textId="77777777" w:rsidR="005369A2" w:rsidRPr="003A15F2" w:rsidRDefault="005369A2" w:rsidP="007A7FFD">
            <w:pPr>
              <w:jc w:val="right"/>
              <w:rPr>
                <w:rFonts w:ascii="Times New Roman" w:hAnsi="Times New Roman" w:cs="Times New Roman"/>
                <w:sz w:val="20"/>
                <w:szCs w:val="20"/>
              </w:rPr>
            </w:pPr>
            <w:r>
              <w:rPr>
                <w:rFonts w:ascii="Times New Roman" w:hAnsi="Times New Roman" w:cs="Times New Roman"/>
                <w:sz w:val="20"/>
                <w:szCs w:val="20"/>
              </w:rPr>
              <w:t>-</w:t>
            </w:r>
          </w:p>
        </w:tc>
        <w:tc>
          <w:tcPr>
            <w:tcW w:w="2958" w:type="dxa"/>
          </w:tcPr>
          <w:p w14:paraId="371F4A83" w14:textId="77777777" w:rsidR="005369A2" w:rsidRPr="003A15F2" w:rsidRDefault="005369A2" w:rsidP="007A7FFD">
            <w:pPr>
              <w:jc w:val="right"/>
              <w:rPr>
                <w:rFonts w:ascii="Times New Roman" w:hAnsi="Times New Roman" w:cs="Times New Roman"/>
                <w:sz w:val="20"/>
                <w:szCs w:val="20"/>
              </w:rPr>
            </w:pPr>
            <w:r>
              <w:rPr>
                <w:rFonts w:ascii="Times New Roman" w:hAnsi="Times New Roman" w:cs="Times New Roman"/>
                <w:sz w:val="20"/>
                <w:szCs w:val="20"/>
              </w:rPr>
              <w:t>-</w:t>
            </w:r>
          </w:p>
        </w:tc>
      </w:tr>
      <w:tr w:rsidR="005369A2" w:rsidRPr="003A15F2" w14:paraId="4466E7B5" w14:textId="77777777" w:rsidTr="007A7FFD">
        <w:tc>
          <w:tcPr>
            <w:tcW w:w="3179" w:type="dxa"/>
          </w:tcPr>
          <w:p w14:paraId="5F39B850" w14:textId="77777777" w:rsidR="005369A2" w:rsidRPr="003A15F2" w:rsidRDefault="005369A2" w:rsidP="007A7FFD">
            <w:pPr>
              <w:rPr>
                <w:rFonts w:ascii="Times New Roman" w:hAnsi="Times New Roman" w:cs="Times New Roman"/>
                <w:sz w:val="20"/>
                <w:szCs w:val="20"/>
              </w:rPr>
            </w:pPr>
          </w:p>
        </w:tc>
        <w:tc>
          <w:tcPr>
            <w:tcW w:w="3105" w:type="dxa"/>
          </w:tcPr>
          <w:p w14:paraId="4460BDAA" w14:textId="77777777" w:rsidR="005369A2" w:rsidRPr="003A15F2" w:rsidRDefault="005369A2" w:rsidP="007A7FFD">
            <w:pPr>
              <w:jc w:val="right"/>
              <w:rPr>
                <w:rFonts w:ascii="Times New Roman" w:hAnsi="Times New Roman" w:cs="Times New Roman"/>
                <w:sz w:val="20"/>
                <w:szCs w:val="20"/>
              </w:rPr>
            </w:pPr>
          </w:p>
        </w:tc>
        <w:tc>
          <w:tcPr>
            <w:tcW w:w="2958" w:type="dxa"/>
          </w:tcPr>
          <w:p w14:paraId="4E58EC1D" w14:textId="77777777" w:rsidR="005369A2" w:rsidRPr="003A15F2" w:rsidRDefault="005369A2" w:rsidP="007A7FFD">
            <w:pPr>
              <w:jc w:val="right"/>
              <w:rPr>
                <w:rFonts w:ascii="Times New Roman" w:hAnsi="Times New Roman" w:cs="Times New Roman"/>
                <w:sz w:val="20"/>
                <w:szCs w:val="20"/>
              </w:rPr>
            </w:pPr>
          </w:p>
        </w:tc>
      </w:tr>
      <w:tr w:rsidR="005369A2" w:rsidRPr="003A15F2" w14:paraId="105AAB4F" w14:textId="77777777" w:rsidTr="007A7FFD">
        <w:tc>
          <w:tcPr>
            <w:tcW w:w="3179" w:type="dxa"/>
          </w:tcPr>
          <w:p w14:paraId="3AD3D60F" w14:textId="77777777" w:rsidR="005369A2" w:rsidRPr="003A15F2" w:rsidRDefault="005369A2" w:rsidP="007A7FFD">
            <w:pPr>
              <w:rPr>
                <w:rFonts w:ascii="Times New Roman" w:hAnsi="Times New Roman" w:cs="Times New Roman"/>
                <w:b/>
                <w:sz w:val="20"/>
                <w:szCs w:val="20"/>
              </w:rPr>
            </w:pPr>
            <w:r w:rsidRPr="003A15F2">
              <w:rPr>
                <w:rFonts w:ascii="Times New Roman" w:hAnsi="Times New Roman" w:cs="Times New Roman"/>
                <w:b/>
                <w:sz w:val="20"/>
                <w:szCs w:val="20"/>
              </w:rPr>
              <w:t>Variable Remuneration</w:t>
            </w:r>
          </w:p>
        </w:tc>
        <w:tc>
          <w:tcPr>
            <w:tcW w:w="3105" w:type="dxa"/>
          </w:tcPr>
          <w:p w14:paraId="6BC7C5FA" w14:textId="77777777" w:rsidR="005369A2" w:rsidRPr="003A15F2" w:rsidRDefault="005369A2" w:rsidP="007A7FFD">
            <w:pPr>
              <w:jc w:val="right"/>
              <w:rPr>
                <w:rFonts w:ascii="Times New Roman" w:hAnsi="Times New Roman" w:cs="Times New Roman"/>
                <w:sz w:val="20"/>
                <w:szCs w:val="20"/>
              </w:rPr>
            </w:pPr>
          </w:p>
        </w:tc>
        <w:tc>
          <w:tcPr>
            <w:tcW w:w="2958" w:type="dxa"/>
          </w:tcPr>
          <w:p w14:paraId="6A03016D" w14:textId="77777777" w:rsidR="005369A2" w:rsidRPr="003A15F2" w:rsidRDefault="005369A2" w:rsidP="007A7FFD">
            <w:pPr>
              <w:jc w:val="right"/>
              <w:rPr>
                <w:rFonts w:ascii="Times New Roman" w:hAnsi="Times New Roman" w:cs="Times New Roman"/>
                <w:sz w:val="20"/>
                <w:szCs w:val="20"/>
              </w:rPr>
            </w:pPr>
          </w:p>
        </w:tc>
      </w:tr>
      <w:tr w:rsidR="005369A2" w:rsidRPr="003A15F2" w14:paraId="599CADB3" w14:textId="77777777" w:rsidTr="007A7FFD">
        <w:tc>
          <w:tcPr>
            <w:tcW w:w="3179" w:type="dxa"/>
          </w:tcPr>
          <w:p w14:paraId="016AC115" w14:textId="77777777" w:rsidR="005369A2" w:rsidRPr="003A15F2" w:rsidRDefault="005369A2" w:rsidP="007A7FFD">
            <w:pPr>
              <w:rPr>
                <w:rFonts w:ascii="Times New Roman" w:hAnsi="Times New Roman" w:cs="Times New Roman"/>
                <w:sz w:val="20"/>
                <w:szCs w:val="20"/>
              </w:rPr>
            </w:pPr>
            <w:r w:rsidRPr="003A15F2">
              <w:rPr>
                <w:rFonts w:ascii="Times New Roman" w:hAnsi="Times New Roman" w:cs="Times New Roman"/>
                <w:sz w:val="20"/>
                <w:szCs w:val="20"/>
              </w:rPr>
              <w:t>Cash-Based</w:t>
            </w:r>
          </w:p>
        </w:tc>
        <w:tc>
          <w:tcPr>
            <w:tcW w:w="3105" w:type="dxa"/>
          </w:tcPr>
          <w:p w14:paraId="777DEBC3" w14:textId="77777777" w:rsidR="005369A2" w:rsidRPr="003A15F2" w:rsidRDefault="005369A2" w:rsidP="007A7FFD">
            <w:pPr>
              <w:jc w:val="right"/>
              <w:rPr>
                <w:rFonts w:ascii="Times New Roman" w:hAnsi="Times New Roman" w:cs="Times New Roman"/>
                <w:sz w:val="20"/>
                <w:szCs w:val="20"/>
              </w:rPr>
            </w:pPr>
            <w:r>
              <w:rPr>
                <w:rFonts w:ascii="Times New Roman" w:hAnsi="Times New Roman" w:cs="Times New Roman"/>
                <w:sz w:val="20"/>
                <w:szCs w:val="20"/>
              </w:rPr>
              <w:t>-</w:t>
            </w:r>
          </w:p>
        </w:tc>
        <w:tc>
          <w:tcPr>
            <w:tcW w:w="2958" w:type="dxa"/>
          </w:tcPr>
          <w:p w14:paraId="34CA8D54" w14:textId="77777777" w:rsidR="005369A2" w:rsidRPr="003A15F2" w:rsidRDefault="005369A2" w:rsidP="007A7FFD">
            <w:pPr>
              <w:jc w:val="right"/>
              <w:rPr>
                <w:rFonts w:ascii="Times New Roman" w:hAnsi="Times New Roman" w:cs="Times New Roman"/>
                <w:sz w:val="20"/>
                <w:szCs w:val="20"/>
              </w:rPr>
            </w:pPr>
            <w:r>
              <w:rPr>
                <w:rFonts w:ascii="Times New Roman" w:hAnsi="Times New Roman" w:cs="Times New Roman"/>
                <w:sz w:val="20"/>
                <w:szCs w:val="20"/>
              </w:rPr>
              <w:t>-</w:t>
            </w:r>
          </w:p>
        </w:tc>
      </w:tr>
      <w:tr w:rsidR="005369A2" w:rsidRPr="003A15F2" w14:paraId="32AEFA8B" w14:textId="77777777" w:rsidTr="007A7FFD">
        <w:tc>
          <w:tcPr>
            <w:tcW w:w="3179" w:type="dxa"/>
          </w:tcPr>
          <w:p w14:paraId="6AC0923A" w14:textId="77777777" w:rsidR="005369A2" w:rsidRPr="003A15F2" w:rsidRDefault="005369A2" w:rsidP="007A7FFD">
            <w:pPr>
              <w:rPr>
                <w:rFonts w:ascii="Times New Roman" w:hAnsi="Times New Roman" w:cs="Times New Roman"/>
                <w:sz w:val="20"/>
                <w:szCs w:val="20"/>
              </w:rPr>
            </w:pPr>
            <w:r w:rsidRPr="003A15F2">
              <w:rPr>
                <w:rFonts w:ascii="Times New Roman" w:hAnsi="Times New Roman" w:cs="Times New Roman"/>
                <w:sz w:val="20"/>
                <w:szCs w:val="20"/>
              </w:rPr>
              <w:t>Shares and share-linked instruments</w:t>
            </w:r>
          </w:p>
        </w:tc>
        <w:tc>
          <w:tcPr>
            <w:tcW w:w="3105" w:type="dxa"/>
          </w:tcPr>
          <w:p w14:paraId="78B6B1FA" w14:textId="77777777" w:rsidR="005369A2" w:rsidRPr="003A15F2" w:rsidRDefault="005369A2" w:rsidP="007A7FFD">
            <w:pPr>
              <w:jc w:val="right"/>
              <w:rPr>
                <w:rFonts w:ascii="Times New Roman" w:hAnsi="Times New Roman" w:cs="Times New Roman"/>
                <w:sz w:val="20"/>
                <w:szCs w:val="20"/>
              </w:rPr>
            </w:pPr>
            <w:r>
              <w:rPr>
                <w:rFonts w:ascii="Times New Roman" w:hAnsi="Times New Roman" w:cs="Times New Roman"/>
                <w:sz w:val="20"/>
                <w:szCs w:val="20"/>
              </w:rPr>
              <w:t>-</w:t>
            </w:r>
          </w:p>
        </w:tc>
        <w:tc>
          <w:tcPr>
            <w:tcW w:w="2958" w:type="dxa"/>
          </w:tcPr>
          <w:p w14:paraId="13D6CE24" w14:textId="77777777" w:rsidR="005369A2" w:rsidRPr="003A15F2" w:rsidRDefault="005369A2" w:rsidP="007A7FFD">
            <w:pPr>
              <w:jc w:val="right"/>
              <w:rPr>
                <w:rFonts w:ascii="Times New Roman" w:hAnsi="Times New Roman" w:cs="Times New Roman"/>
                <w:sz w:val="20"/>
                <w:szCs w:val="20"/>
              </w:rPr>
            </w:pPr>
            <w:r>
              <w:rPr>
                <w:rFonts w:ascii="Times New Roman" w:hAnsi="Times New Roman" w:cs="Times New Roman"/>
                <w:sz w:val="20"/>
                <w:szCs w:val="20"/>
              </w:rPr>
              <w:t>-</w:t>
            </w:r>
          </w:p>
        </w:tc>
      </w:tr>
      <w:tr w:rsidR="005369A2" w:rsidRPr="003A15F2" w14:paraId="7069AD9C" w14:textId="77777777" w:rsidTr="007A7FFD">
        <w:tc>
          <w:tcPr>
            <w:tcW w:w="3179" w:type="dxa"/>
          </w:tcPr>
          <w:p w14:paraId="7DCE7A90" w14:textId="77777777" w:rsidR="005369A2" w:rsidRPr="003A15F2" w:rsidRDefault="005369A2" w:rsidP="007A7FFD">
            <w:pPr>
              <w:rPr>
                <w:rFonts w:ascii="Times New Roman" w:hAnsi="Times New Roman" w:cs="Times New Roman"/>
                <w:sz w:val="20"/>
                <w:szCs w:val="20"/>
              </w:rPr>
            </w:pPr>
            <w:r w:rsidRPr="003A15F2">
              <w:rPr>
                <w:rFonts w:ascii="Times New Roman" w:hAnsi="Times New Roman" w:cs="Times New Roman"/>
                <w:sz w:val="20"/>
                <w:szCs w:val="20"/>
              </w:rPr>
              <w:t>Other</w:t>
            </w:r>
          </w:p>
        </w:tc>
        <w:tc>
          <w:tcPr>
            <w:tcW w:w="3105" w:type="dxa"/>
          </w:tcPr>
          <w:p w14:paraId="7540DEDF" w14:textId="77777777" w:rsidR="005369A2" w:rsidRPr="003A15F2" w:rsidRDefault="005369A2" w:rsidP="007A7FFD">
            <w:pPr>
              <w:jc w:val="right"/>
              <w:rPr>
                <w:rFonts w:ascii="Times New Roman" w:hAnsi="Times New Roman" w:cs="Times New Roman"/>
                <w:sz w:val="20"/>
                <w:szCs w:val="20"/>
              </w:rPr>
            </w:pPr>
            <w:r>
              <w:rPr>
                <w:rFonts w:ascii="Times New Roman" w:hAnsi="Times New Roman" w:cs="Times New Roman"/>
                <w:sz w:val="20"/>
                <w:szCs w:val="20"/>
              </w:rPr>
              <w:t>-</w:t>
            </w:r>
          </w:p>
        </w:tc>
        <w:tc>
          <w:tcPr>
            <w:tcW w:w="2958" w:type="dxa"/>
          </w:tcPr>
          <w:p w14:paraId="54B2F4E4" w14:textId="77777777" w:rsidR="005369A2" w:rsidRPr="003A15F2" w:rsidRDefault="005369A2" w:rsidP="007A7FFD">
            <w:pPr>
              <w:jc w:val="right"/>
              <w:rPr>
                <w:rFonts w:ascii="Times New Roman" w:hAnsi="Times New Roman" w:cs="Times New Roman"/>
                <w:sz w:val="20"/>
                <w:szCs w:val="20"/>
              </w:rPr>
            </w:pPr>
            <w:r>
              <w:rPr>
                <w:rFonts w:ascii="Times New Roman" w:hAnsi="Times New Roman" w:cs="Times New Roman"/>
                <w:sz w:val="20"/>
                <w:szCs w:val="20"/>
              </w:rPr>
              <w:t>-</w:t>
            </w:r>
          </w:p>
        </w:tc>
      </w:tr>
    </w:tbl>
    <w:p w14:paraId="21363142" w14:textId="77777777" w:rsidR="005369A2" w:rsidRDefault="005369A2" w:rsidP="005369A2"/>
    <w:p w14:paraId="4FF71535" w14:textId="77777777" w:rsidR="00700578" w:rsidRPr="008D7839" w:rsidRDefault="00700578" w:rsidP="00110B39">
      <w:pPr>
        <w:pStyle w:val="Heading1"/>
        <w:rPr>
          <w:rFonts w:ascii="Times New Roman" w:hAnsi="Times New Roman" w:cs="Times New Roman"/>
          <w:b w:val="0"/>
          <w:sz w:val="20"/>
          <w:szCs w:val="20"/>
        </w:rPr>
      </w:pPr>
    </w:p>
    <w:sectPr w:rsidR="00700578" w:rsidRPr="008D7839" w:rsidSect="00EF6AA3">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45672" w14:textId="77777777" w:rsidR="00291CA4" w:rsidRDefault="00291CA4" w:rsidP="00BC50D1">
      <w:pPr>
        <w:spacing w:after="0" w:line="240" w:lineRule="auto"/>
      </w:pPr>
      <w:r>
        <w:separator/>
      </w:r>
    </w:p>
  </w:endnote>
  <w:endnote w:type="continuationSeparator" w:id="0">
    <w:p w14:paraId="6BF55559" w14:textId="77777777" w:rsidR="00291CA4" w:rsidRDefault="00291CA4" w:rsidP="00BC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FNB Sans Regular">
    <w:altName w:val="FNB Sans 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842894"/>
      <w:docPartObj>
        <w:docPartGallery w:val="Page Numbers (Bottom of Page)"/>
        <w:docPartUnique/>
      </w:docPartObj>
    </w:sdtPr>
    <w:sdtEndPr>
      <w:rPr>
        <w:noProof/>
      </w:rPr>
    </w:sdtEndPr>
    <w:sdtContent>
      <w:p w14:paraId="6E6977D2" w14:textId="1E5486B2" w:rsidR="000813A6" w:rsidRDefault="000813A6">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14:paraId="5F26A34E" w14:textId="77777777" w:rsidR="000813A6" w:rsidRDefault="00081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DBB99" w14:textId="77777777" w:rsidR="00291CA4" w:rsidRDefault="00291CA4" w:rsidP="00BC50D1">
      <w:pPr>
        <w:spacing w:after="0" w:line="240" w:lineRule="auto"/>
      </w:pPr>
      <w:r>
        <w:separator/>
      </w:r>
    </w:p>
  </w:footnote>
  <w:footnote w:type="continuationSeparator" w:id="0">
    <w:p w14:paraId="344ECA08" w14:textId="77777777" w:rsidR="00291CA4" w:rsidRDefault="00291CA4" w:rsidP="00BC5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37C8"/>
    <w:multiLevelType w:val="hybridMultilevel"/>
    <w:tmpl w:val="0130D09C"/>
    <w:lvl w:ilvl="0" w:tplc="9FE8276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3DF14C5"/>
    <w:multiLevelType w:val="hybridMultilevel"/>
    <w:tmpl w:val="54386EEC"/>
    <w:lvl w:ilvl="0" w:tplc="02E69ED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0708B"/>
    <w:multiLevelType w:val="multilevel"/>
    <w:tmpl w:val="B794553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6AD7992"/>
    <w:multiLevelType w:val="hybridMultilevel"/>
    <w:tmpl w:val="F4CCD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F505D7"/>
    <w:multiLevelType w:val="hybridMultilevel"/>
    <w:tmpl w:val="1D98B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D1111C"/>
    <w:multiLevelType w:val="hybridMultilevel"/>
    <w:tmpl w:val="C7409BBC"/>
    <w:lvl w:ilvl="0" w:tplc="16F8894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3754A63"/>
    <w:multiLevelType w:val="hybridMultilevel"/>
    <w:tmpl w:val="EF60D1C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15:restartNumberingAfterBreak="0">
    <w:nsid w:val="34A26075"/>
    <w:multiLevelType w:val="hybridMultilevel"/>
    <w:tmpl w:val="D1F6431C"/>
    <w:lvl w:ilvl="0" w:tplc="C932293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D7441"/>
    <w:multiLevelType w:val="multilevel"/>
    <w:tmpl w:val="67D001F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9E25619"/>
    <w:multiLevelType w:val="hybridMultilevel"/>
    <w:tmpl w:val="7F80BB8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15:restartNumberingAfterBreak="0">
    <w:nsid w:val="3C69439F"/>
    <w:multiLevelType w:val="hybridMultilevel"/>
    <w:tmpl w:val="AFA00E68"/>
    <w:lvl w:ilvl="0" w:tplc="DE2CB76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395AE6"/>
    <w:multiLevelType w:val="hybridMultilevel"/>
    <w:tmpl w:val="13A296B8"/>
    <w:lvl w:ilvl="0" w:tplc="532AE920">
      <w:start w:val="1"/>
      <w:numFmt w:val="lowerRoman"/>
      <w:lvlText w:val="%1."/>
      <w:lvlJc w:val="left"/>
      <w:pPr>
        <w:ind w:left="1260" w:hanging="72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2" w15:restartNumberingAfterBreak="0">
    <w:nsid w:val="44BE6E39"/>
    <w:multiLevelType w:val="hybridMultilevel"/>
    <w:tmpl w:val="7F72B180"/>
    <w:lvl w:ilvl="0" w:tplc="33827DCA">
      <w:start w:val="1"/>
      <w:numFmt w:val="bullet"/>
      <w:pStyle w:val="Bullets"/>
      <w:lvlText w:val=""/>
      <w:lvlJc w:val="left"/>
      <w:pPr>
        <w:ind w:left="720" w:hanging="360"/>
      </w:pPr>
      <w:rPr>
        <w:rFonts w:ascii="Symbol" w:hAnsi="Symbol" w:hint="default"/>
      </w:rPr>
    </w:lvl>
    <w:lvl w:ilvl="1" w:tplc="6138F690">
      <w:start w:val="1"/>
      <w:numFmt w:val="bullet"/>
      <w:lvlText w:val=""/>
      <w:lvlJc w:val="left"/>
      <w:pPr>
        <w:ind w:left="1920" w:hanging="360"/>
      </w:pPr>
      <w:rPr>
        <w:rFonts w:ascii="Symbol" w:hAnsi="Symbol"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3" w15:restartNumberingAfterBreak="0">
    <w:nsid w:val="46B83D03"/>
    <w:multiLevelType w:val="hybridMultilevel"/>
    <w:tmpl w:val="8CAC3F5A"/>
    <w:lvl w:ilvl="0" w:tplc="8604CA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EC3B0E"/>
    <w:multiLevelType w:val="hybridMultilevel"/>
    <w:tmpl w:val="A65224DC"/>
    <w:lvl w:ilvl="0" w:tplc="08090001">
      <w:start w:val="1"/>
      <w:numFmt w:val="bullet"/>
      <w:lvlText w:val=""/>
      <w:lvlJc w:val="left"/>
      <w:pPr>
        <w:ind w:left="1647" w:hanging="360"/>
      </w:pPr>
      <w:rPr>
        <w:rFonts w:ascii="Symbol" w:hAnsi="Symbol" w:hint="default"/>
      </w:rPr>
    </w:lvl>
    <w:lvl w:ilvl="1" w:tplc="08090003">
      <w:start w:val="1"/>
      <w:numFmt w:val="bullet"/>
      <w:lvlText w:val="o"/>
      <w:lvlJc w:val="left"/>
      <w:pPr>
        <w:ind w:left="2367" w:hanging="360"/>
      </w:pPr>
      <w:rPr>
        <w:rFonts w:ascii="Courier New" w:hAnsi="Courier New" w:cs="Courier New" w:hint="default"/>
      </w:rPr>
    </w:lvl>
    <w:lvl w:ilvl="2" w:tplc="08090005">
      <w:start w:val="1"/>
      <w:numFmt w:val="bullet"/>
      <w:lvlText w:val=""/>
      <w:lvlJc w:val="left"/>
      <w:pPr>
        <w:ind w:left="3087" w:hanging="360"/>
      </w:pPr>
      <w:rPr>
        <w:rFonts w:ascii="Wingdings" w:hAnsi="Wingdings" w:hint="default"/>
      </w:rPr>
    </w:lvl>
    <w:lvl w:ilvl="3" w:tplc="08090001">
      <w:start w:val="1"/>
      <w:numFmt w:val="bullet"/>
      <w:lvlText w:val=""/>
      <w:lvlJc w:val="left"/>
      <w:pPr>
        <w:ind w:left="3807" w:hanging="360"/>
      </w:pPr>
      <w:rPr>
        <w:rFonts w:ascii="Symbol" w:hAnsi="Symbol" w:hint="default"/>
      </w:rPr>
    </w:lvl>
    <w:lvl w:ilvl="4" w:tplc="08090003">
      <w:start w:val="1"/>
      <w:numFmt w:val="bullet"/>
      <w:lvlText w:val="o"/>
      <w:lvlJc w:val="left"/>
      <w:pPr>
        <w:ind w:left="4527" w:hanging="360"/>
      </w:pPr>
      <w:rPr>
        <w:rFonts w:ascii="Courier New" w:hAnsi="Courier New" w:cs="Courier New" w:hint="default"/>
      </w:rPr>
    </w:lvl>
    <w:lvl w:ilvl="5" w:tplc="08090005">
      <w:start w:val="1"/>
      <w:numFmt w:val="bullet"/>
      <w:lvlText w:val=""/>
      <w:lvlJc w:val="left"/>
      <w:pPr>
        <w:ind w:left="5247" w:hanging="360"/>
      </w:pPr>
      <w:rPr>
        <w:rFonts w:ascii="Wingdings" w:hAnsi="Wingdings" w:hint="default"/>
      </w:rPr>
    </w:lvl>
    <w:lvl w:ilvl="6" w:tplc="08090001">
      <w:start w:val="1"/>
      <w:numFmt w:val="bullet"/>
      <w:lvlText w:val=""/>
      <w:lvlJc w:val="left"/>
      <w:pPr>
        <w:ind w:left="5967" w:hanging="360"/>
      </w:pPr>
      <w:rPr>
        <w:rFonts w:ascii="Symbol" w:hAnsi="Symbol" w:hint="default"/>
      </w:rPr>
    </w:lvl>
    <w:lvl w:ilvl="7" w:tplc="08090003">
      <w:start w:val="1"/>
      <w:numFmt w:val="bullet"/>
      <w:lvlText w:val="o"/>
      <w:lvlJc w:val="left"/>
      <w:pPr>
        <w:ind w:left="6687" w:hanging="360"/>
      </w:pPr>
      <w:rPr>
        <w:rFonts w:ascii="Courier New" w:hAnsi="Courier New" w:cs="Courier New" w:hint="default"/>
      </w:rPr>
    </w:lvl>
    <w:lvl w:ilvl="8" w:tplc="08090005">
      <w:start w:val="1"/>
      <w:numFmt w:val="bullet"/>
      <w:lvlText w:val=""/>
      <w:lvlJc w:val="left"/>
      <w:pPr>
        <w:ind w:left="7407" w:hanging="360"/>
      </w:pPr>
      <w:rPr>
        <w:rFonts w:ascii="Wingdings" w:hAnsi="Wingdings" w:hint="default"/>
      </w:rPr>
    </w:lvl>
  </w:abstractNum>
  <w:abstractNum w:abstractNumId="15" w15:restartNumberingAfterBreak="0">
    <w:nsid w:val="49784217"/>
    <w:multiLevelType w:val="hybridMultilevel"/>
    <w:tmpl w:val="0C847C5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87C5B8C"/>
    <w:multiLevelType w:val="hybridMultilevel"/>
    <w:tmpl w:val="A3F6C72E"/>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7" w15:restartNumberingAfterBreak="0">
    <w:nsid w:val="61E024D0"/>
    <w:multiLevelType w:val="hybridMultilevel"/>
    <w:tmpl w:val="401A79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5807B1"/>
    <w:multiLevelType w:val="hybridMultilevel"/>
    <w:tmpl w:val="92DC7A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5775A29"/>
    <w:multiLevelType w:val="hybridMultilevel"/>
    <w:tmpl w:val="1B3E817A"/>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0" w15:restartNumberingAfterBreak="0">
    <w:nsid w:val="67CD79F0"/>
    <w:multiLevelType w:val="hybridMultilevel"/>
    <w:tmpl w:val="96A2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B2363F"/>
    <w:multiLevelType w:val="hybridMultilevel"/>
    <w:tmpl w:val="1DFA72B4"/>
    <w:lvl w:ilvl="0" w:tplc="4B6E525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3566DE1"/>
    <w:multiLevelType w:val="hybridMultilevel"/>
    <w:tmpl w:val="3E6875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725296D"/>
    <w:multiLevelType w:val="hybridMultilevel"/>
    <w:tmpl w:val="B99C20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916239F"/>
    <w:multiLevelType w:val="hybridMultilevel"/>
    <w:tmpl w:val="83B093C2"/>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5" w15:restartNumberingAfterBreak="0">
    <w:nsid w:val="7ADD37A4"/>
    <w:multiLevelType w:val="singleLevel"/>
    <w:tmpl w:val="DC9CF510"/>
    <w:lvl w:ilvl="0">
      <w:start w:val="1"/>
      <w:numFmt w:val="bullet"/>
      <w:lvlText w:val=""/>
      <w:lvlJc w:val="left"/>
      <w:pPr>
        <w:tabs>
          <w:tab w:val="num" w:pos="340"/>
        </w:tabs>
        <w:ind w:left="340" w:hanging="340"/>
      </w:pPr>
      <w:rPr>
        <w:rFonts w:ascii="Symbol" w:hAnsi="Symbol" w:hint="default"/>
        <w:color w:val="auto"/>
        <w:sz w:val="22"/>
      </w:rPr>
    </w:lvl>
  </w:abstractNum>
  <w:abstractNum w:abstractNumId="26" w15:restartNumberingAfterBreak="0">
    <w:nsid w:val="7E927B5D"/>
    <w:multiLevelType w:val="multilevel"/>
    <w:tmpl w:val="C764D87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16cid:durableId="591664766">
    <w:abstractNumId w:val="26"/>
  </w:num>
  <w:num w:numId="2" w16cid:durableId="1298531054">
    <w:abstractNumId w:val="25"/>
  </w:num>
  <w:num w:numId="3" w16cid:durableId="1375083589">
    <w:abstractNumId w:val="22"/>
  </w:num>
  <w:num w:numId="4" w16cid:durableId="1805080122">
    <w:abstractNumId w:val="23"/>
  </w:num>
  <w:num w:numId="5" w16cid:durableId="536897344">
    <w:abstractNumId w:val="4"/>
  </w:num>
  <w:num w:numId="6" w16cid:durableId="1068456561">
    <w:abstractNumId w:val="3"/>
  </w:num>
  <w:num w:numId="7" w16cid:durableId="1028222259">
    <w:abstractNumId w:val="0"/>
  </w:num>
  <w:num w:numId="8" w16cid:durableId="798843575">
    <w:abstractNumId w:val="11"/>
  </w:num>
  <w:num w:numId="9" w16cid:durableId="1123156234">
    <w:abstractNumId w:val="13"/>
  </w:num>
  <w:num w:numId="10" w16cid:durableId="936910406">
    <w:abstractNumId w:val="7"/>
  </w:num>
  <w:num w:numId="11" w16cid:durableId="87392056">
    <w:abstractNumId w:val="12"/>
  </w:num>
  <w:num w:numId="12" w16cid:durableId="1986354920">
    <w:abstractNumId w:val="15"/>
  </w:num>
  <w:num w:numId="13" w16cid:durableId="4546440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624590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901906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30647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5149469">
    <w:abstractNumId w:val="14"/>
  </w:num>
  <w:num w:numId="18" w16cid:durableId="105926850">
    <w:abstractNumId w:val="9"/>
  </w:num>
  <w:num w:numId="19" w16cid:durableId="1045570492">
    <w:abstractNumId w:val="6"/>
  </w:num>
  <w:num w:numId="20" w16cid:durableId="786702884">
    <w:abstractNumId w:val="18"/>
  </w:num>
  <w:num w:numId="21" w16cid:durableId="837235139">
    <w:abstractNumId w:val="16"/>
  </w:num>
  <w:num w:numId="22" w16cid:durableId="1782676717">
    <w:abstractNumId w:val="24"/>
  </w:num>
  <w:num w:numId="23" w16cid:durableId="1406685184">
    <w:abstractNumId w:val="19"/>
  </w:num>
  <w:num w:numId="24" w16cid:durableId="1442073685">
    <w:abstractNumId w:val="20"/>
  </w:num>
  <w:num w:numId="25" w16cid:durableId="1418789892">
    <w:abstractNumId w:val="2"/>
  </w:num>
  <w:num w:numId="26" w16cid:durableId="2063404362">
    <w:abstractNumId w:val="10"/>
  </w:num>
  <w:num w:numId="27" w16cid:durableId="592738782">
    <w:abstractNumId w:val="17"/>
  </w:num>
  <w:num w:numId="28" w16cid:durableId="716465354">
    <w:abstractNumId w:val="1"/>
  </w:num>
  <w:num w:numId="29" w16cid:durableId="1586962955">
    <w:abstractNumId w:val="12"/>
  </w:num>
  <w:num w:numId="30" w16cid:durableId="1690176025">
    <w:abstractNumId w:val="26"/>
  </w:num>
  <w:num w:numId="31" w16cid:durableId="1708141042">
    <w:abstractNumId w:val="25"/>
  </w:num>
  <w:num w:numId="32" w16cid:durableId="7091127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77422744">
    <w:abstractNumId w:val="8"/>
  </w:num>
  <w:num w:numId="34" w16cid:durableId="1551110552">
    <w:abstractNumId w:val="14"/>
  </w:num>
  <w:num w:numId="35" w16cid:durableId="956256507">
    <w:abstractNumId w:val="9"/>
  </w:num>
  <w:num w:numId="36" w16cid:durableId="1663661923">
    <w:abstractNumId w:val="6"/>
  </w:num>
  <w:num w:numId="37" w16cid:durableId="1565873421">
    <w:abstractNumId w:val="18"/>
  </w:num>
  <w:num w:numId="38" w16cid:durableId="851140843">
    <w:abstractNumId w:val="16"/>
  </w:num>
  <w:num w:numId="39" w16cid:durableId="764155602">
    <w:abstractNumId w:val="24"/>
  </w:num>
  <w:num w:numId="40" w16cid:durableId="982733482">
    <w:abstractNumId w:val="19"/>
  </w:num>
  <w:num w:numId="41" w16cid:durableId="1922131816">
    <w:abstractNumId w:val="20"/>
  </w:num>
  <w:num w:numId="42" w16cid:durableId="710961903">
    <w:abstractNumId w:val="12"/>
  </w:num>
  <w:num w:numId="43" w16cid:durableId="15586639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79360845">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345"/>
    <w:rsid w:val="00001E53"/>
    <w:rsid w:val="00003D29"/>
    <w:rsid w:val="00005B3C"/>
    <w:rsid w:val="00011848"/>
    <w:rsid w:val="00016C6B"/>
    <w:rsid w:val="00017055"/>
    <w:rsid w:val="00017D3E"/>
    <w:rsid w:val="00023F81"/>
    <w:rsid w:val="00025885"/>
    <w:rsid w:val="00027107"/>
    <w:rsid w:val="00027F9D"/>
    <w:rsid w:val="00034345"/>
    <w:rsid w:val="00035920"/>
    <w:rsid w:val="00035A67"/>
    <w:rsid w:val="00036E43"/>
    <w:rsid w:val="00036F89"/>
    <w:rsid w:val="00051A8A"/>
    <w:rsid w:val="00051DD1"/>
    <w:rsid w:val="00055265"/>
    <w:rsid w:val="00057FAB"/>
    <w:rsid w:val="0006102C"/>
    <w:rsid w:val="00061A5A"/>
    <w:rsid w:val="00061F7D"/>
    <w:rsid w:val="00062153"/>
    <w:rsid w:val="00063C70"/>
    <w:rsid w:val="000645BD"/>
    <w:rsid w:val="0007017A"/>
    <w:rsid w:val="00074248"/>
    <w:rsid w:val="000813A6"/>
    <w:rsid w:val="00084CCA"/>
    <w:rsid w:val="000865C9"/>
    <w:rsid w:val="00087220"/>
    <w:rsid w:val="00087A1E"/>
    <w:rsid w:val="000906BA"/>
    <w:rsid w:val="000907A1"/>
    <w:rsid w:val="0009329A"/>
    <w:rsid w:val="00093D3D"/>
    <w:rsid w:val="00093DA6"/>
    <w:rsid w:val="000961C1"/>
    <w:rsid w:val="000B36FC"/>
    <w:rsid w:val="000B44AB"/>
    <w:rsid w:val="000B47C3"/>
    <w:rsid w:val="000C18E8"/>
    <w:rsid w:val="000C2D46"/>
    <w:rsid w:val="000D0315"/>
    <w:rsid w:val="000D1705"/>
    <w:rsid w:val="000D4126"/>
    <w:rsid w:val="000D6759"/>
    <w:rsid w:val="000D7A8F"/>
    <w:rsid w:val="000E07A9"/>
    <w:rsid w:val="000E1C79"/>
    <w:rsid w:val="000E3465"/>
    <w:rsid w:val="000F3EF8"/>
    <w:rsid w:val="000F4022"/>
    <w:rsid w:val="000F56EA"/>
    <w:rsid w:val="000F5DF9"/>
    <w:rsid w:val="00102DD3"/>
    <w:rsid w:val="00110B39"/>
    <w:rsid w:val="00114440"/>
    <w:rsid w:val="00116CF4"/>
    <w:rsid w:val="00117072"/>
    <w:rsid w:val="00126CE3"/>
    <w:rsid w:val="00130AE9"/>
    <w:rsid w:val="00134BBD"/>
    <w:rsid w:val="00134E8D"/>
    <w:rsid w:val="001354FC"/>
    <w:rsid w:val="00143899"/>
    <w:rsid w:val="00150ECA"/>
    <w:rsid w:val="00151C88"/>
    <w:rsid w:val="00152710"/>
    <w:rsid w:val="0015583E"/>
    <w:rsid w:val="001576BA"/>
    <w:rsid w:val="00163707"/>
    <w:rsid w:val="00172BC1"/>
    <w:rsid w:val="00176081"/>
    <w:rsid w:val="001767A7"/>
    <w:rsid w:val="0017735F"/>
    <w:rsid w:val="001776B1"/>
    <w:rsid w:val="00180206"/>
    <w:rsid w:val="001844BE"/>
    <w:rsid w:val="00184A00"/>
    <w:rsid w:val="00184A9B"/>
    <w:rsid w:val="0018619D"/>
    <w:rsid w:val="00186289"/>
    <w:rsid w:val="00186E26"/>
    <w:rsid w:val="0019349A"/>
    <w:rsid w:val="00195FF2"/>
    <w:rsid w:val="001A0F7D"/>
    <w:rsid w:val="001A45B4"/>
    <w:rsid w:val="001B300B"/>
    <w:rsid w:val="001C1D4C"/>
    <w:rsid w:val="001C57B7"/>
    <w:rsid w:val="001D14F0"/>
    <w:rsid w:val="001D6A54"/>
    <w:rsid w:val="001E1787"/>
    <w:rsid w:val="001E1988"/>
    <w:rsid w:val="001F1C09"/>
    <w:rsid w:val="00205017"/>
    <w:rsid w:val="00205DBA"/>
    <w:rsid w:val="00210C2C"/>
    <w:rsid w:val="00211001"/>
    <w:rsid w:val="002131D6"/>
    <w:rsid w:val="002133D6"/>
    <w:rsid w:val="00215E34"/>
    <w:rsid w:val="0022273E"/>
    <w:rsid w:val="00222820"/>
    <w:rsid w:val="00223C55"/>
    <w:rsid w:val="00225E66"/>
    <w:rsid w:val="00232983"/>
    <w:rsid w:val="002374A1"/>
    <w:rsid w:val="00237C5E"/>
    <w:rsid w:val="002422B9"/>
    <w:rsid w:val="002501ED"/>
    <w:rsid w:val="00253DDE"/>
    <w:rsid w:val="00260F46"/>
    <w:rsid w:val="00262C95"/>
    <w:rsid w:val="00263D03"/>
    <w:rsid w:val="00267901"/>
    <w:rsid w:val="00275D2E"/>
    <w:rsid w:val="00276A18"/>
    <w:rsid w:val="002800B6"/>
    <w:rsid w:val="00282DD1"/>
    <w:rsid w:val="002831FC"/>
    <w:rsid w:val="002836FD"/>
    <w:rsid w:val="00286BFC"/>
    <w:rsid w:val="00291C48"/>
    <w:rsid w:val="00291CA4"/>
    <w:rsid w:val="00292548"/>
    <w:rsid w:val="00296765"/>
    <w:rsid w:val="00296AC8"/>
    <w:rsid w:val="002B1E81"/>
    <w:rsid w:val="002C08AD"/>
    <w:rsid w:val="002C2F28"/>
    <w:rsid w:val="002C54C5"/>
    <w:rsid w:val="002D0260"/>
    <w:rsid w:val="002D0C3B"/>
    <w:rsid w:val="002D15FA"/>
    <w:rsid w:val="002D2406"/>
    <w:rsid w:val="002D27C7"/>
    <w:rsid w:val="002D2D79"/>
    <w:rsid w:val="002D7EC2"/>
    <w:rsid w:val="002F26D8"/>
    <w:rsid w:val="002F39EA"/>
    <w:rsid w:val="002F3AA5"/>
    <w:rsid w:val="002F6EA0"/>
    <w:rsid w:val="002F7E01"/>
    <w:rsid w:val="0031097E"/>
    <w:rsid w:val="00313E68"/>
    <w:rsid w:val="00316A02"/>
    <w:rsid w:val="00317AC9"/>
    <w:rsid w:val="00324AD8"/>
    <w:rsid w:val="0032731B"/>
    <w:rsid w:val="00330FD7"/>
    <w:rsid w:val="00331626"/>
    <w:rsid w:val="00336175"/>
    <w:rsid w:val="0034042E"/>
    <w:rsid w:val="003425BC"/>
    <w:rsid w:val="0034276F"/>
    <w:rsid w:val="003460D0"/>
    <w:rsid w:val="0035146C"/>
    <w:rsid w:val="00353691"/>
    <w:rsid w:val="003573B8"/>
    <w:rsid w:val="00357C5F"/>
    <w:rsid w:val="0036103A"/>
    <w:rsid w:val="0036168F"/>
    <w:rsid w:val="003642F5"/>
    <w:rsid w:val="00366BDC"/>
    <w:rsid w:val="003704F6"/>
    <w:rsid w:val="00374ED1"/>
    <w:rsid w:val="00381166"/>
    <w:rsid w:val="00381C1C"/>
    <w:rsid w:val="0038307D"/>
    <w:rsid w:val="00390264"/>
    <w:rsid w:val="00390BB9"/>
    <w:rsid w:val="00393E34"/>
    <w:rsid w:val="003A15F2"/>
    <w:rsid w:val="003B24FE"/>
    <w:rsid w:val="003B553A"/>
    <w:rsid w:val="003B67E8"/>
    <w:rsid w:val="003B7D24"/>
    <w:rsid w:val="003C5E5D"/>
    <w:rsid w:val="003D12AA"/>
    <w:rsid w:val="003D1459"/>
    <w:rsid w:val="003D1735"/>
    <w:rsid w:val="003D5342"/>
    <w:rsid w:val="003E2EEB"/>
    <w:rsid w:val="003E4C0D"/>
    <w:rsid w:val="003F0B30"/>
    <w:rsid w:val="003F6A4E"/>
    <w:rsid w:val="00400750"/>
    <w:rsid w:val="004024E0"/>
    <w:rsid w:val="004033AA"/>
    <w:rsid w:val="0040602B"/>
    <w:rsid w:val="004139E3"/>
    <w:rsid w:val="004213F2"/>
    <w:rsid w:val="00421E97"/>
    <w:rsid w:val="00425965"/>
    <w:rsid w:val="0043145B"/>
    <w:rsid w:val="00431B83"/>
    <w:rsid w:val="00432606"/>
    <w:rsid w:val="004363CB"/>
    <w:rsid w:val="00437DD1"/>
    <w:rsid w:val="00444874"/>
    <w:rsid w:val="00447DE9"/>
    <w:rsid w:val="00450E6C"/>
    <w:rsid w:val="00453A39"/>
    <w:rsid w:val="004550E7"/>
    <w:rsid w:val="00455CA7"/>
    <w:rsid w:val="00457CCF"/>
    <w:rsid w:val="00461C16"/>
    <w:rsid w:val="004642BA"/>
    <w:rsid w:val="00473259"/>
    <w:rsid w:val="00473905"/>
    <w:rsid w:val="00480836"/>
    <w:rsid w:val="00481BC2"/>
    <w:rsid w:val="004820A5"/>
    <w:rsid w:val="0048665A"/>
    <w:rsid w:val="00487239"/>
    <w:rsid w:val="004907A8"/>
    <w:rsid w:val="00492D7E"/>
    <w:rsid w:val="00494D82"/>
    <w:rsid w:val="00495E1E"/>
    <w:rsid w:val="004A096A"/>
    <w:rsid w:val="004A4AAC"/>
    <w:rsid w:val="004A5AF2"/>
    <w:rsid w:val="004A62E2"/>
    <w:rsid w:val="004A6463"/>
    <w:rsid w:val="004C7F4C"/>
    <w:rsid w:val="004D0139"/>
    <w:rsid w:val="004D18C1"/>
    <w:rsid w:val="004D64A2"/>
    <w:rsid w:val="004D7467"/>
    <w:rsid w:val="004E1438"/>
    <w:rsid w:val="004E1CE2"/>
    <w:rsid w:val="004E2717"/>
    <w:rsid w:val="004E28B6"/>
    <w:rsid w:val="004E3F9B"/>
    <w:rsid w:val="004E551B"/>
    <w:rsid w:val="004E6349"/>
    <w:rsid w:val="004F1C91"/>
    <w:rsid w:val="004F267B"/>
    <w:rsid w:val="004F7A2E"/>
    <w:rsid w:val="0050030F"/>
    <w:rsid w:val="00500FC4"/>
    <w:rsid w:val="00504E12"/>
    <w:rsid w:val="00506204"/>
    <w:rsid w:val="00506AEC"/>
    <w:rsid w:val="00511D19"/>
    <w:rsid w:val="00521A12"/>
    <w:rsid w:val="00527FDA"/>
    <w:rsid w:val="005316B8"/>
    <w:rsid w:val="0053316C"/>
    <w:rsid w:val="00534F3A"/>
    <w:rsid w:val="005369A2"/>
    <w:rsid w:val="00536E74"/>
    <w:rsid w:val="00541B3F"/>
    <w:rsid w:val="00547C4F"/>
    <w:rsid w:val="00566E9D"/>
    <w:rsid w:val="00574630"/>
    <w:rsid w:val="005817D3"/>
    <w:rsid w:val="00583E8A"/>
    <w:rsid w:val="005873DE"/>
    <w:rsid w:val="00587F5C"/>
    <w:rsid w:val="00590A3D"/>
    <w:rsid w:val="005916D1"/>
    <w:rsid w:val="00591BDD"/>
    <w:rsid w:val="005A468B"/>
    <w:rsid w:val="005A658D"/>
    <w:rsid w:val="005A7A2C"/>
    <w:rsid w:val="005B3E12"/>
    <w:rsid w:val="005B3E1F"/>
    <w:rsid w:val="005B5130"/>
    <w:rsid w:val="005B5B8D"/>
    <w:rsid w:val="005C1914"/>
    <w:rsid w:val="005C22C0"/>
    <w:rsid w:val="005C377E"/>
    <w:rsid w:val="005D0FFB"/>
    <w:rsid w:val="005D508A"/>
    <w:rsid w:val="005E1BCC"/>
    <w:rsid w:val="005E2393"/>
    <w:rsid w:val="005E5A46"/>
    <w:rsid w:val="005E632B"/>
    <w:rsid w:val="005F4435"/>
    <w:rsid w:val="006068EF"/>
    <w:rsid w:val="00607C81"/>
    <w:rsid w:val="00614A27"/>
    <w:rsid w:val="00614AAB"/>
    <w:rsid w:val="00615DCB"/>
    <w:rsid w:val="006207E4"/>
    <w:rsid w:val="00620C00"/>
    <w:rsid w:val="00625AA5"/>
    <w:rsid w:val="0063059E"/>
    <w:rsid w:val="00630D1E"/>
    <w:rsid w:val="00642437"/>
    <w:rsid w:val="00643B61"/>
    <w:rsid w:val="00650E0D"/>
    <w:rsid w:val="00653F17"/>
    <w:rsid w:val="00654AF3"/>
    <w:rsid w:val="0065528C"/>
    <w:rsid w:val="00656C1E"/>
    <w:rsid w:val="0066017B"/>
    <w:rsid w:val="00661D45"/>
    <w:rsid w:val="006632CC"/>
    <w:rsid w:val="0067367A"/>
    <w:rsid w:val="006759D9"/>
    <w:rsid w:val="00677641"/>
    <w:rsid w:val="00680BF3"/>
    <w:rsid w:val="00680F7E"/>
    <w:rsid w:val="00684BA8"/>
    <w:rsid w:val="006873C1"/>
    <w:rsid w:val="00687A2D"/>
    <w:rsid w:val="0069629D"/>
    <w:rsid w:val="006967EA"/>
    <w:rsid w:val="006A2F58"/>
    <w:rsid w:val="006A69C8"/>
    <w:rsid w:val="006B17E3"/>
    <w:rsid w:val="006B1E6F"/>
    <w:rsid w:val="006B3818"/>
    <w:rsid w:val="006B59F7"/>
    <w:rsid w:val="006B795E"/>
    <w:rsid w:val="006C1E23"/>
    <w:rsid w:val="006C3DD1"/>
    <w:rsid w:val="006C65CF"/>
    <w:rsid w:val="006D517F"/>
    <w:rsid w:val="006D54D1"/>
    <w:rsid w:val="006D5BBA"/>
    <w:rsid w:val="006D5D20"/>
    <w:rsid w:val="006D71A2"/>
    <w:rsid w:val="006E1254"/>
    <w:rsid w:val="006E435A"/>
    <w:rsid w:val="006F2190"/>
    <w:rsid w:val="006F61E9"/>
    <w:rsid w:val="006F65A0"/>
    <w:rsid w:val="006F7B5B"/>
    <w:rsid w:val="00700578"/>
    <w:rsid w:val="00713901"/>
    <w:rsid w:val="00716BD9"/>
    <w:rsid w:val="00726A93"/>
    <w:rsid w:val="0073240E"/>
    <w:rsid w:val="00733E46"/>
    <w:rsid w:val="00741D2C"/>
    <w:rsid w:val="00741E6A"/>
    <w:rsid w:val="00744FF3"/>
    <w:rsid w:val="007519EC"/>
    <w:rsid w:val="007600E4"/>
    <w:rsid w:val="0076498D"/>
    <w:rsid w:val="007650B4"/>
    <w:rsid w:val="0076797C"/>
    <w:rsid w:val="00770C89"/>
    <w:rsid w:val="00775E08"/>
    <w:rsid w:val="00781593"/>
    <w:rsid w:val="00782A67"/>
    <w:rsid w:val="00783133"/>
    <w:rsid w:val="00785424"/>
    <w:rsid w:val="00786AB4"/>
    <w:rsid w:val="00786AC0"/>
    <w:rsid w:val="007923B5"/>
    <w:rsid w:val="00793176"/>
    <w:rsid w:val="007939C3"/>
    <w:rsid w:val="00797B0A"/>
    <w:rsid w:val="007A0603"/>
    <w:rsid w:val="007A08DB"/>
    <w:rsid w:val="007A55B1"/>
    <w:rsid w:val="007A7870"/>
    <w:rsid w:val="007C5D12"/>
    <w:rsid w:val="007C7A0A"/>
    <w:rsid w:val="007C7CA9"/>
    <w:rsid w:val="007D14E2"/>
    <w:rsid w:val="007D2481"/>
    <w:rsid w:val="007D4149"/>
    <w:rsid w:val="007D5665"/>
    <w:rsid w:val="007D682C"/>
    <w:rsid w:val="007E044F"/>
    <w:rsid w:val="007E1603"/>
    <w:rsid w:val="007E6EE7"/>
    <w:rsid w:val="007F33A2"/>
    <w:rsid w:val="007F3DC7"/>
    <w:rsid w:val="007F43BD"/>
    <w:rsid w:val="0080550C"/>
    <w:rsid w:val="00807789"/>
    <w:rsid w:val="00807D7E"/>
    <w:rsid w:val="008202BC"/>
    <w:rsid w:val="0082031A"/>
    <w:rsid w:val="008208C0"/>
    <w:rsid w:val="00825793"/>
    <w:rsid w:val="00826170"/>
    <w:rsid w:val="00830468"/>
    <w:rsid w:val="00835203"/>
    <w:rsid w:val="00835D04"/>
    <w:rsid w:val="008368FA"/>
    <w:rsid w:val="00842E36"/>
    <w:rsid w:val="00854E4B"/>
    <w:rsid w:val="00855F8E"/>
    <w:rsid w:val="00856577"/>
    <w:rsid w:val="00856985"/>
    <w:rsid w:val="00865A5F"/>
    <w:rsid w:val="00870A3A"/>
    <w:rsid w:val="00872B4E"/>
    <w:rsid w:val="0088144E"/>
    <w:rsid w:val="00890518"/>
    <w:rsid w:val="00894D59"/>
    <w:rsid w:val="008A1AA0"/>
    <w:rsid w:val="008A23CE"/>
    <w:rsid w:val="008A6627"/>
    <w:rsid w:val="008A6B83"/>
    <w:rsid w:val="008B15F6"/>
    <w:rsid w:val="008B6510"/>
    <w:rsid w:val="008D1687"/>
    <w:rsid w:val="008D43E6"/>
    <w:rsid w:val="008D4A99"/>
    <w:rsid w:val="008D7839"/>
    <w:rsid w:val="008E2868"/>
    <w:rsid w:val="008E3C7C"/>
    <w:rsid w:val="008E6189"/>
    <w:rsid w:val="008F095F"/>
    <w:rsid w:val="008F09F5"/>
    <w:rsid w:val="008F107D"/>
    <w:rsid w:val="008F387B"/>
    <w:rsid w:val="008F774F"/>
    <w:rsid w:val="008F791D"/>
    <w:rsid w:val="009010E4"/>
    <w:rsid w:val="00902AF8"/>
    <w:rsid w:val="0090371C"/>
    <w:rsid w:val="0090456E"/>
    <w:rsid w:val="00915366"/>
    <w:rsid w:val="00920766"/>
    <w:rsid w:val="00922EDA"/>
    <w:rsid w:val="00925460"/>
    <w:rsid w:val="009263A4"/>
    <w:rsid w:val="00926C1C"/>
    <w:rsid w:val="00930F3D"/>
    <w:rsid w:val="009313AC"/>
    <w:rsid w:val="00932BE8"/>
    <w:rsid w:val="00941520"/>
    <w:rsid w:val="0094377F"/>
    <w:rsid w:val="00943ECF"/>
    <w:rsid w:val="00953F03"/>
    <w:rsid w:val="00954E3E"/>
    <w:rsid w:val="0096250A"/>
    <w:rsid w:val="00962CC8"/>
    <w:rsid w:val="009658E3"/>
    <w:rsid w:val="009765A9"/>
    <w:rsid w:val="00980180"/>
    <w:rsid w:val="00980350"/>
    <w:rsid w:val="00980932"/>
    <w:rsid w:val="00980D25"/>
    <w:rsid w:val="0098265E"/>
    <w:rsid w:val="0098270B"/>
    <w:rsid w:val="00984599"/>
    <w:rsid w:val="00992E77"/>
    <w:rsid w:val="0099481F"/>
    <w:rsid w:val="009A1C48"/>
    <w:rsid w:val="009A47E2"/>
    <w:rsid w:val="009A47ED"/>
    <w:rsid w:val="009A685A"/>
    <w:rsid w:val="009A762B"/>
    <w:rsid w:val="009B07DE"/>
    <w:rsid w:val="009B20C4"/>
    <w:rsid w:val="009B3F48"/>
    <w:rsid w:val="009B5248"/>
    <w:rsid w:val="009B5C2A"/>
    <w:rsid w:val="009B733A"/>
    <w:rsid w:val="009C068F"/>
    <w:rsid w:val="009C1CAA"/>
    <w:rsid w:val="009C4C1F"/>
    <w:rsid w:val="009C524A"/>
    <w:rsid w:val="009C7469"/>
    <w:rsid w:val="009D16A6"/>
    <w:rsid w:val="009D446D"/>
    <w:rsid w:val="009D519C"/>
    <w:rsid w:val="009D7404"/>
    <w:rsid w:val="009E0902"/>
    <w:rsid w:val="009F6C3B"/>
    <w:rsid w:val="00A0412C"/>
    <w:rsid w:val="00A05778"/>
    <w:rsid w:val="00A14258"/>
    <w:rsid w:val="00A143D0"/>
    <w:rsid w:val="00A23B8F"/>
    <w:rsid w:val="00A26251"/>
    <w:rsid w:val="00A26279"/>
    <w:rsid w:val="00A34D97"/>
    <w:rsid w:val="00A37786"/>
    <w:rsid w:val="00A41DFB"/>
    <w:rsid w:val="00A4233D"/>
    <w:rsid w:val="00A45ED8"/>
    <w:rsid w:val="00A471AB"/>
    <w:rsid w:val="00A545DB"/>
    <w:rsid w:val="00A57EE5"/>
    <w:rsid w:val="00A60995"/>
    <w:rsid w:val="00A61B76"/>
    <w:rsid w:val="00A677CB"/>
    <w:rsid w:val="00A7216A"/>
    <w:rsid w:val="00A733BA"/>
    <w:rsid w:val="00A8088A"/>
    <w:rsid w:val="00A85417"/>
    <w:rsid w:val="00A87022"/>
    <w:rsid w:val="00A95B1D"/>
    <w:rsid w:val="00AB04C9"/>
    <w:rsid w:val="00AB2AC5"/>
    <w:rsid w:val="00AB2DE2"/>
    <w:rsid w:val="00AB5FD2"/>
    <w:rsid w:val="00AC03CC"/>
    <w:rsid w:val="00AD1967"/>
    <w:rsid w:val="00AD1C69"/>
    <w:rsid w:val="00AD3C7B"/>
    <w:rsid w:val="00AD5ECD"/>
    <w:rsid w:val="00AE0414"/>
    <w:rsid w:val="00AE5AB0"/>
    <w:rsid w:val="00AE7F12"/>
    <w:rsid w:val="00AF39EE"/>
    <w:rsid w:val="00B00B2B"/>
    <w:rsid w:val="00B049F2"/>
    <w:rsid w:val="00B07409"/>
    <w:rsid w:val="00B078ED"/>
    <w:rsid w:val="00B107F1"/>
    <w:rsid w:val="00B11B06"/>
    <w:rsid w:val="00B1773D"/>
    <w:rsid w:val="00B20E1A"/>
    <w:rsid w:val="00B224D3"/>
    <w:rsid w:val="00B23547"/>
    <w:rsid w:val="00B3215B"/>
    <w:rsid w:val="00B32AD6"/>
    <w:rsid w:val="00B3419B"/>
    <w:rsid w:val="00B35D75"/>
    <w:rsid w:val="00B3686E"/>
    <w:rsid w:val="00B41786"/>
    <w:rsid w:val="00B47F53"/>
    <w:rsid w:val="00B57589"/>
    <w:rsid w:val="00B902CE"/>
    <w:rsid w:val="00B92386"/>
    <w:rsid w:val="00B92434"/>
    <w:rsid w:val="00BA3196"/>
    <w:rsid w:val="00BA3F52"/>
    <w:rsid w:val="00BA4262"/>
    <w:rsid w:val="00BA72D9"/>
    <w:rsid w:val="00BB0964"/>
    <w:rsid w:val="00BB3C14"/>
    <w:rsid w:val="00BB4025"/>
    <w:rsid w:val="00BB6E74"/>
    <w:rsid w:val="00BC136A"/>
    <w:rsid w:val="00BC50D1"/>
    <w:rsid w:val="00BC69DC"/>
    <w:rsid w:val="00BC758C"/>
    <w:rsid w:val="00BD0AA0"/>
    <w:rsid w:val="00BD29C6"/>
    <w:rsid w:val="00BD6DDE"/>
    <w:rsid w:val="00BD7AD8"/>
    <w:rsid w:val="00BE0DB8"/>
    <w:rsid w:val="00BE0DC7"/>
    <w:rsid w:val="00BE5C92"/>
    <w:rsid w:val="00BF0875"/>
    <w:rsid w:val="00BF20BE"/>
    <w:rsid w:val="00BF5431"/>
    <w:rsid w:val="00C04CAA"/>
    <w:rsid w:val="00C07380"/>
    <w:rsid w:val="00C07A06"/>
    <w:rsid w:val="00C22A61"/>
    <w:rsid w:val="00C2480E"/>
    <w:rsid w:val="00C24EA3"/>
    <w:rsid w:val="00C31572"/>
    <w:rsid w:val="00C34A48"/>
    <w:rsid w:val="00C40827"/>
    <w:rsid w:val="00C41C33"/>
    <w:rsid w:val="00C422AB"/>
    <w:rsid w:val="00C42EF8"/>
    <w:rsid w:val="00C46582"/>
    <w:rsid w:val="00C47681"/>
    <w:rsid w:val="00C4770D"/>
    <w:rsid w:val="00C50F78"/>
    <w:rsid w:val="00C5391F"/>
    <w:rsid w:val="00C57F05"/>
    <w:rsid w:val="00C639CF"/>
    <w:rsid w:val="00C65973"/>
    <w:rsid w:val="00C66784"/>
    <w:rsid w:val="00C72796"/>
    <w:rsid w:val="00C928C4"/>
    <w:rsid w:val="00C92FD7"/>
    <w:rsid w:val="00C96182"/>
    <w:rsid w:val="00C96455"/>
    <w:rsid w:val="00C978DD"/>
    <w:rsid w:val="00CA050D"/>
    <w:rsid w:val="00CA153B"/>
    <w:rsid w:val="00CA3315"/>
    <w:rsid w:val="00CA36AD"/>
    <w:rsid w:val="00CA4F6F"/>
    <w:rsid w:val="00CA5B67"/>
    <w:rsid w:val="00CB2A24"/>
    <w:rsid w:val="00CC49C3"/>
    <w:rsid w:val="00CC557C"/>
    <w:rsid w:val="00CC705B"/>
    <w:rsid w:val="00CC718A"/>
    <w:rsid w:val="00CC7E64"/>
    <w:rsid w:val="00CD1A6C"/>
    <w:rsid w:val="00CD1BB1"/>
    <w:rsid w:val="00CD2F0D"/>
    <w:rsid w:val="00CD45D5"/>
    <w:rsid w:val="00CD579A"/>
    <w:rsid w:val="00CD5BAC"/>
    <w:rsid w:val="00CE670B"/>
    <w:rsid w:val="00CE7844"/>
    <w:rsid w:val="00CF27BA"/>
    <w:rsid w:val="00CF2876"/>
    <w:rsid w:val="00CF3C1A"/>
    <w:rsid w:val="00D0017D"/>
    <w:rsid w:val="00D002D5"/>
    <w:rsid w:val="00D01371"/>
    <w:rsid w:val="00D03052"/>
    <w:rsid w:val="00D074CA"/>
    <w:rsid w:val="00D13290"/>
    <w:rsid w:val="00D166B3"/>
    <w:rsid w:val="00D17D95"/>
    <w:rsid w:val="00D24183"/>
    <w:rsid w:val="00D2606E"/>
    <w:rsid w:val="00D272F2"/>
    <w:rsid w:val="00D30C39"/>
    <w:rsid w:val="00D357C4"/>
    <w:rsid w:val="00D368AF"/>
    <w:rsid w:val="00D40036"/>
    <w:rsid w:val="00D41BC2"/>
    <w:rsid w:val="00D43FC8"/>
    <w:rsid w:val="00D50275"/>
    <w:rsid w:val="00D5170A"/>
    <w:rsid w:val="00D603CB"/>
    <w:rsid w:val="00D6060D"/>
    <w:rsid w:val="00D620FE"/>
    <w:rsid w:val="00D657BF"/>
    <w:rsid w:val="00D669CC"/>
    <w:rsid w:val="00D67867"/>
    <w:rsid w:val="00D72F78"/>
    <w:rsid w:val="00D732D4"/>
    <w:rsid w:val="00D83C3E"/>
    <w:rsid w:val="00D86C8F"/>
    <w:rsid w:val="00D914A6"/>
    <w:rsid w:val="00D9243E"/>
    <w:rsid w:val="00D93FF3"/>
    <w:rsid w:val="00D9410B"/>
    <w:rsid w:val="00D956C2"/>
    <w:rsid w:val="00D95F6F"/>
    <w:rsid w:val="00DA0026"/>
    <w:rsid w:val="00DB020A"/>
    <w:rsid w:val="00DB0704"/>
    <w:rsid w:val="00DB1AB6"/>
    <w:rsid w:val="00DB1B54"/>
    <w:rsid w:val="00DB464F"/>
    <w:rsid w:val="00DB50DA"/>
    <w:rsid w:val="00DB5A96"/>
    <w:rsid w:val="00DB63CD"/>
    <w:rsid w:val="00DC79C5"/>
    <w:rsid w:val="00DE5A26"/>
    <w:rsid w:val="00DE5A7C"/>
    <w:rsid w:val="00DE6B46"/>
    <w:rsid w:val="00DF4107"/>
    <w:rsid w:val="00E014CA"/>
    <w:rsid w:val="00E023BA"/>
    <w:rsid w:val="00E04F3B"/>
    <w:rsid w:val="00E20241"/>
    <w:rsid w:val="00E20562"/>
    <w:rsid w:val="00E22EA8"/>
    <w:rsid w:val="00E27025"/>
    <w:rsid w:val="00E317CC"/>
    <w:rsid w:val="00E321CD"/>
    <w:rsid w:val="00E35844"/>
    <w:rsid w:val="00E40960"/>
    <w:rsid w:val="00E41201"/>
    <w:rsid w:val="00E4354C"/>
    <w:rsid w:val="00E47D48"/>
    <w:rsid w:val="00E5039F"/>
    <w:rsid w:val="00E539DA"/>
    <w:rsid w:val="00E53C08"/>
    <w:rsid w:val="00E5786F"/>
    <w:rsid w:val="00E63A3E"/>
    <w:rsid w:val="00E73D7F"/>
    <w:rsid w:val="00E810CC"/>
    <w:rsid w:val="00E8495C"/>
    <w:rsid w:val="00E879FA"/>
    <w:rsid w:val="00E92DF0"/>
    <w:rsid w:val="00E96369"/>
    <w:rsid w:val="00E96E80"/>
    <w:rsid w:val="00EB3BFE"/>
    <w:rsid w:val="00EB617E"/>
    <w:rsid w:val="00EB6370"/>
    <w:rsid w:val="00EB6F94"/>
    <w:rsid w:val="00EC75E2"/>
    <w:rsid w:val="00ED265F"/>
    <w:rsid w:val="00ED438B"/>
    <w:rsid w:val="00ED472A"/>
    <w:rsid w:val="00ED51DB"/>
    <w:rsid w:val="00ED66C0"/>
    <w:rsid w:val="00ED69E8"/>
    <w:rsid w:val="00ED6F6D"/>
    <w:rsid w:val="00ED794A"/>
    <w:rsid w:val="00EE08FC"/>
    <w:rsid w:val="00EE4734"/>
    <w:rsid w:val="00EE581D"/>
    <w:rsid w:val="00EE62FE"/>
    <w:rsid w:val="00EE662F"/>
    <w:rsid w:val="00EE673D"/>
    <w:rsid w:val="00EF1EEC"/>
    <w:rsid w:val="00EF3FAC"/>
    <w:rsid w:val="00EF48C9"/>
    <w:rsid w:val="00EF6AA3"/>
    <w:rsid w:val="00EF786F"/>
    <w:rsid w:val="00F01E59"/>
    <w:rsid w:val="00F02282"/>
    <w:rsid w:val="00F03F58"/>
    <w:rsid w:val="00F1192A"/>
    <w:rsid w:val="00F160A2"/>
    <w:rsid w:val="00F17808"/>
    <w:rsid w:val="00F2304E"/>
    <w:rsid w:val="00F27BEB"/>
    <w:rsid w:val="00F30817"/>
    <w:rsid w:val="00F3365A"/>
    <w:rsid w:val="00F354C8"/>
    <w:rsid w:val="00F37793"/>
    <w:rsid w:val="00F408EC"/>
    <w:rsid w:val="00F4207B"/>
    <w:rsid w:val="00F42426"/>
    <w:rsid w:val="00F43EA1"/>
    <w:rsid w:val="00F47BDF"/>
    <w:rsid w:val="00F513C1"/>
    <w:rsid w:val="00F52AF9"/>
    <w:rsid w:val="00F52F51"/>
    <w:rsid w:val="00F53F29"/>
    <w:rsid w:val="00F56802"/>
    <w:rsid w:val="00F56918"/>
    <w:rsid w:val="00F70F86"/>
    <w:rsid w:val="00F717BF"/>
    <w:rsid w:val="00F73165"/>
    <w:rsid w:val="00F739FB"/>
    <w:rsid w:val="00F74575"/>
    <w:rsid w:val="00F8167B"/>
    <w:rsid w:val="00F86982"/>
    <w:rsid w:val="00F91AE5"/>
    <w:rsid w:val="00F92CA2"/>
    <w:rsid w:val="00F93F4D"/>
    <w:rsid w:val="00F975E2"/>
    <w:rsid w:val="00F9790B"/>
    <w:rsid w:val="00FA0224"/>
    <w:rsid w:val="00FA4C88"/>
    <w:rsid w:val="00FA60C3"/>
    <w:rsid w:val="00FA7450"/>
    <w:rsid w:val="00FA7701"/>
    <w:rsid w:val="00FB2AB2"/>
    <w:rsid w:val="00FB62C2"/>
    <w:rsid w:val="00FB7742"/>
    <w:rsid w:val="00FC233A"/>
    <w:rsid w:val="00FC4A49"/>
    <w:rsid w:val="00FC588E"/>
    <w:rsid w:val="00FD29EE"/>
    <w:rsid w:val="00FD49CD"/>
    <w:rsid w:val="00FE5E7F"/>
    <w:rsid w:val="00FF3B6A"/>
    <w:rsid w:val="00FF4116"/>
    <w:rsid w:val="00FF4981"/>
    <w:rsid w:val="00FF49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6A443"/>
  <w15:docId w15:val="{69EE1DFE-0140-4A39-9184-D1143C73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DDE"/>
  </w:style>
  <w:style w:type="paragraph" w:styleId="Heading1">
    <w:name w:val="heading 1"/>
    <w:basedOn w:val="Normal"/>
    <w:next w:val="Normal"/>
    <w:link w:val="Heading1Char"/>
    <w:uiPriority w:val="9"/>
    <w:qFormat/>
    <w:rsid w:val="00BC5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21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2153"/>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2B1E8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CC49C3"/>
    <w:pPr>
      <w:autoSpaceDE w:val="0"/>
      <w:autoSpaceDN w:val="0"/>
      <w:adjustRightInd w:val="0"/>
      <w:spacing w:after="0" w:line="241" w:lineRule="atLeast"/>
    </w:pPr>
    <w:rPr>
      <w:rFonts w:ascii="HelveticaNeueLT Std Med" w:hAnsi="HelveticaNeueLT Std Med"/>
      <w:sz w:val="24"/>
      <w:szCs w:val="24"/>
    </w:rPr>
  </w:style>
  <w:style w:type="character" w:customStyle="1" w:styleId="A5">
    <w:name w:val="A5"/>
    <w:uiPriority w:val="99"/>
    <w:rsid w:val="00CC49C3"/>
    <w:rPr>
      <w:rFonts w:cs="HelveticaNeueLT Std Med"/>
      <w:color w:val="000000"/>
      <w:sz w:val="18"/>
      <w:szCs w:val="18"/>
    </w:rPr>
  </w:style>
  <w:style w:type="paragraph" w:customStyle="1" w:styleId="Pa11">
    <w:name w:val="Pa11"/>
    <w:basedOn w:val="Normal"/>
    <w:next w:val="Normal"/>
    <w:uiPriority w:val="99"/>
    <w:rsid w:val="00CC49C3"/>
    <w:pPr>
      <w:autoSpaceDE w:val="0"/>
      <w:autoSpaceDN w:val="0"/>
      <w:adjustRightInd w:val="0"/>
      <w:spacing w:after="0" w:line="241" w:lineRule="atLeast"/>
    </w:pPr>
    <w:rPr>
      <w:rFonts w:ascii="HelveticaNeueLT Std Med" w:hAnsi="HelveticaNeueLT Std Med"/>
      <w:sz w:val="24"/>
      <w:szCs w:val="24"/>
    </w:rPr>
  </w:style>
  <w:style w:type="paragraph" w:customStyle="1" w:styleId="Pa0">
    <w:name w:val="Pa0"/>
    <w:basedOn w:val="Normal"/>
    <w:next w:val="Normal"/>
    <w:uiPriority w:val="99"/>
    <w:rsid w:val="004E551B"/>
    <w:pPr>
      <w:autoSpaceDE w:val="0"/>
      <w:autoSpaceDN w:val="0"/>
      <w:adjustRightInd w:val="0"/>
      <w:spacing w:after="0" w:line="241" w:lineRule="atLeast"/>
    </w:pPr>
    <w:rPr>
      <w:rFonts w:ascii="HelveticaNeueLT Std Med" w:hAnsi="HelveticaNeueLT Std Med"/>
      <w:sz w:val="24"/>
      <w:szCs w:val="24"/>
    </w:rPr>
  </w:style>
  <w:style w:type="table" w:styleId="TableGrid">
    <w:name w:val="Table Grid"/>
    <w:basedOn w:val="TableNormal"/>
    <w:uiPriority w:val="59"/>
    <w:rsid w:val="00D40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BF20BE"/>
    <w:pPr>
      <w:autoSpaceDE w:val="0"/>
      <w:autoSpaceDN w:val="0"/>
      <w:adjustRightInd w:val="0"/>
      <w:spacing w:after="0" w:line="221" w:lineRule="atLeast"/>
    </w:pPr>
    <w:rPr>
      <w:rFonts w:ascii="FNB Sans Regular" w:hAnsi="FNB Sans Regular"/>
      <w:sz w:val="24"/>
      <w:szCs w:val="24"/>
    </w:rPr>
  </w:style>
  <w:style w:type="paragraph" w:customStyle="1" w:styleId="Default">
    <w:name w:val="Default"/>
    <w:rsid w:val="0094377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C1D4C"/>
    <w:pPr>
      <w:ind w:left="720"/>
      <w:contextualSpacing/>
    </w:pPr>
  </w:style>
  <w:style w:type="paragraph" w:styleId="Header">
    <w:name w:val="header"/>
    <w:basedOn w:val="Normal"/>
    <w:link w:val="HeaderChar"/>
    <w:uiPriority w:val="99"/>
    <w:unhideWhenUsed/>
    <w:rsid w:val="00BC5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0D1"/>
  </w:style>
  <w:style w:type="paragraph" w:styleId="Footer">
    <w:name w:val="footer"/>
    <w:basedOn w:val="Normal"/>
    <w:link w:val="FooterChar"/>
    <w:uiPriority w:val="99"/>
    <w:unhideWhenUsed/>
    <w:rsid w:val="00BC5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0D1"/>
  </w:style>
  <w:style w:type="paragraph" w:styleId="BalloonText">
    <w:name w:val="Balloon Text"/>
    <w:basedOn w:val="Normal"/>
    <w:link w:val="BalloonTextChar"/>
    <w:uiPriority w:val="99"/>
    <w:semiHidden/>
    <w:unhideWhenUsed/>
    <w:rsid w:val="00BC5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0D1"/>
    <w:rPr>
      <w:rFonts w:ascii="Tahoma" w:hAnsi="Tahoma" w:cs="Tahoma"/>
      <w:sz w:val="16"/>
      <w:szCs w:val="16"/>
    </w:rPr>
  </w:style>
  <w:style w:type="character" w:customStyle="1" w:styleId="Heading1Char">
    <w:name w:val="Heading 1 Char"/>
    <w:basedOn w:val="DefaultParagraphFont"/>
    <w:link w:val="Heading1"/>
    <w:uiPriority w:val="9"/>
    <w:rsid w:val="00BC50D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C50D1"/>
    <w:pPr>
      <w:outlineLvl w:val="9"/>
    </w:pPr>
    <w:rPr>
      <w:lang w:val="en-US" w:eastAsia="ja-JP"/>
    </w:rPr>
  </w:style>
  <w:style w:type="character" w:customStyle="1" w:styleId="Heading2Char">
    <w:name w:val="Heading 2 Char"/>
    <w:basedOn w:val="DefaultParagraphFont"/>
    <w:link w:val="Heading2"/>
    <w:uiPriority w:val="9"/>
    <w:rsid w:val="000621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62153"/>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062153"/>
    <w:pPr>
      <w:spacing w:after="100"/>
    </w:pPr>
  </w:style>
  <w:style w:type="paragraph" w:styleId="TOC2">
    <w:name w:val="toc 2"/>
    <w:basedOn w:val="Normal"/>
    <w:next w:val="Normal"/>
    <w:autoRedefine/>
    <w:uiPriority w:val="39"/>
    <w:unhideWhenUsed/>
    <w:rsid w:val="00062153"/>
    <w:pPr>
      <w:spacing w:after="100"/>
      <w:ind w:left="220"/>
    </w:pPr>
  </w:style>
  <w:style w:type="paragraph" w:styleId="TOC3">
    <w:name w:val="toc 3"/>
    <w:basedOn w:val="Normal"/>
    <w:next w:val="Normal"/>
    <w:autoRedefine/>
    <w:uiPriority w:val="39"/>
    <w:unhideWhenUsed/>
    <w:rsid w:val="00062153"/>
    <w:pPr>
      <w:spacing w:after="100"/>
      <w:ind w:left="440"/>
    </w:pPr>
  </w:style>
  <w:style w:type="character" w:styleId="Hyperlink">
    <w:name w:val="Hyperlink"/>
    <w:basedOn w:val="DefaultParagraphFont"/>
    <w:uiPriority w:val="99"/>
    <w:unhideWhenUsed/>
    <w:rsid w:val="00062153"/>
    <w:rPr>
      <w:color w:val="0000FF" w:themeColor="hyperlink"/>
      <w:u w:val="single"/>
    </w:rPr>
  </w:style>
  <w:style w:type="character" w:styleId="CommentReference">
    <w:name w:val="annotation reference"/>
    <w:basedOn w:val="DefaultParagraphFont"/>
    <w:uiPriority w:val="99"/>
    <w:semiHidden/>
    <w:unhideWhenUsed/>
    <w:rsid w:val="00943ECF"/>
    <w:rPr>
      <w:sz w:val="16"/>
      <w:szCs w:val="16"/>
    </w:rPr>
  </w:style>
  <w:style w:type="paragraph" w:styleId="CommentText">
    <w:name w:val="annotation text"/>
    <w:basedOn w:val="Normal"/>
    <w:link w:val="CommentTextChar"/>
    <w:uiPriority w:val="99"/>
    <w:unhideWhenUsed/>
    <w:rsid w:val="00943ECF"/>
    <w:pPr>
      <w:spacing w:line="240" w:lineRule="auto"/>
    </w:pPr>
    <w:rPr>
      <w:sz w:val="20"/>
      <w:szCs w:val="20"/>
    </w:rPr>
  </w:style>
  <w:style w:type="character" w:customStyle="1" w:styleId="CommentTextChar">
    <w:name w:val="Comment Text Char"/>
    <w:basedOn w:val="DefaultParagraphFont"/>
    <w:link w:val="CommentText"/>
    <w:uiPriority w:val="99"/>
    <w:rsid w:val="00943ECF"/>
    <w:rPr>
      <w:sz w:val="20"/>
      <w:szCs w:val="20"/>
    </w:rPr>
  </w:style>
  <w:style w:type="paragraph" w:styleId="CommentSubject">
    <w:name w:val="annotation subject"/>
    <w:basedOn w:val="CommentText"/>
    <w:next w:val="CommentText"/>
    <w:link w:val="CommentSubjectChar"/>
    <w:uiPriority w:val="99"/>
    <w:semiHidden/>
    <w:unhideWhenUsed/>
    <w:rsid w:val="00943ECF"/>
    <w:rPr>
      <w:b/>
      <w:bCs/>
    </w:rPr>
  </w:style>
  <w:style w:type="character" w:customStyle="1" w:styleId="CommentSubjectChar">
    <w:name w:val="Comment Subject Char"/>
    <w:basedOn w:val="CommentTextChar"/>
    <w:link w:val="CommentSubject"/>
    <w:uiPriority w:val="99"/>
    <w:semiHidden/>
    <w:rsid w:val="00943ECF"/>
    <w:rPr>
      <w:b/>
      <w:bCs/>
      <w:sz w:val="20"/>
      <w:szCs w:val="20"/>
    </w:rPr>
  </w:style>
  <w:style w:type="character" w:customStyle="1" w:styleId="Heading7Char">
    <w:name w:val="Heading 7 Char"/>
    <w:basedOn w:val="DefaultParagraphFont"/>
    <w:link w:val="Heading7"/>
    <w:uiPriority w:val="9"/>
    <w:rsid w:val="002B1E81"/>
    <w:rPr>
      <w:rFonts w:asciiTheme="majorHAnsi" w:eastAsiaTheme="majorEastAsia" w:hAnsiTheme="majorHAnsi" w:cstheme="majorBidi"/>
      <w:i/>
      <w:iCs/>
      <w:color w:val="404040" w:themeColor="text1" w:themeTint="BF"/>
    </w:rPr>
  </w:style>
  <w:style w:type="table" w:customStyle="1" w:styleId="TableGrid1">
    <w:name w:val="Table Grid1"/>
    <w:basedOn w:val="TableNormal"/>
    <w:next w:val="TableGrid"/>
    <w:uiPriority w:val="59"/>
    <w:rsid w:val="00E4354C"/>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FMBChar">
    <w:name w:val="Normal FMB Char"/>
    <w:basedOn w:val="DefaultParagraphFont"/>
    <w:link w:val="NormalFMB"/>
    <w:locked/>
    <w:rsid w:val="00930F3D"/>
    <w:rPr>
      <w:rFonts w:ascii="Arial" w:hAnsi="Arial" w:cs="Arial"/>
    </w:rPr>
  </w:style>
  <w:style w:type="paragraph" w:customStyle="1" w:styleId="NormalFMB">
    <w:name w:val="Normal FMB"/>
    <w:basedOn w:val="Normal"/>
    <w:link w:val="NormalFMBChar"/>
    <w:rsid w:val="00930F3D"/>
    <w:pPr>
      <w:spacing w:before="240" w:after="120" w:line="360" w:lineRule="auto"/>
      <w:jc w:val="both"/>
    </w:pPr>
    <w:rPr>
      <w:rFonts w:ascii="Arial" w:hAnsi="Arial" w:cs="Arial"/>
    </w:rPr>
  </w:style>
  <w:style w:type="character" w:customStyle="1" w:styleId="BulletsChar">
    <w:name w:val="Bullets Char"/>
    <w:basedOn w:val="DefaultParagraphFont"/>
    <w:link w:val="Bullets"/>
    <w:locked/>
    <w:rsid w:val="00930F3D"/>
    <w:rPr>
      <w:rFonts w:ascii="Arial" w:hAnsi="Arial" w:cs="Arial"/>
    </w:rPr>
  </w:style>
  <w:style w:type="paragraph" w:customStyle="1" w:styleId="Bullets">
    <w:name w:val="Bullets"/>
    <w:basedOn w:val="Normal"/>
    <w:link w:val="BulletsChar"/>
    <w:rsid w:val="00930F3D"/>
    <w:pPr>
      <w:numPr>
        <w:numId w:val="11"/>
      </w:numPr>
      <w:spacing w:before="120" w:after="120" w:line="360" w:lineRule="auto"/>
      <w:jc w:val="both"/>
    </w:pPr>
    <w:rPr>
      <w:rFonts w:ascii="Arial" w:hAnsi="Arial" w:cs="Arial"/>
    </w:rPr>
  </w:style>
  <w:style w:type="table" w:customStyle="1" w:styleId="TableGrid2">
    <w:name w:val="Table Grid2"/>
    <w:basedOn w:val="TableNormal"/>
    <w:next w:val="TableGrid"/>
    <w:uiPriority w:val="59"/>
    <w:rsid w:val="00E73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7681"/>
    <w:pPr>
      <w:spacing w:after="0" w:line="240" w:lineRule="auto"/>
    </w:pPr>
  </w:style>
  <w:style w:type="paragraph" w:styleId="Revision">
    <w:name w:val="Revision"/>
    <w:hidden/>
    <w:uiPriority w:val="99"/>
    <w:semiHidden/>
    <w:rsid w:val="006F2190"/>
    <w:pPr>
      <w:spacing w:after="0" w:line="240" w:lineRule="auto"/>
    </w:pPr>
  </w:style>
  <w:style w:type="character" w:styleId="UnresolvedMention">
    <w:name w:val="Unresolved Mention"/>
    <w:basedOn w:val="DefaultParagraphFont"/>
    <w:uiPriority w:val="99"/>
    <w:unhideWhenUsed/>
    <w:rsid w:val="00733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7443">
      <w:bodyDiv w:val="1"/>
      <w:marLeft w:val="0"/>
      <w:marRight w:val="0"/>
      <w:marTop w:val="0"/>
      <w:marBottom w:val="0"/>
      <w:divBdr>
        <w:top w:val="none" w:sz="0" w:space="0" w:color="auto"/>
        <w:left w:val="none" w:sz="0" w:space="0" w:color="auto"/>
        <w:bottom w:val="none" w:sz="0" w:space="0" w:color="auto"/>
        <w:right w:val="none" w:sz="0" w:space="0" w:color="auto"/>
      </w:divBdr>
    </w:div>
    <w:div w:id="42683017">
      <w:bodyDiv w:val="1"/>
      <w:marLeft w:val="0"/>
      <w:marRight w:val="0"/>
      <w:marTop w:val="0"/>
      <w:marBottom w:val="0"/>
      <w:divBdr>
        <w:top w:val="none" w:sz="0" w:space="0" w:color="auto"/>
        <w:left w:val="none" w:sz="0" w:space="0" w:color="auto"/>
        <w:bottom w:val="none" w:sz="0" w:space="0" w:color="auto"/>
        <w:right w:val="none" w:sz="0" w:space="0" w:color="auto"/>
      </w:divBdr>
    </w:div>
    <w:div w:id="53696823">
      <w:bodyDiv w:val="1"/>
      <w:marLeft w:val="0"/>
      <w:marRight w:val="0"/>
      <w:marTop w:val="0"/>
      <w:marBottom w:val="0"/>
      <w:divBdr>
        <w:top w:val="none" w:sz="0" w:space="0" w:color="auto"/>
        <w:left w:val="none" w:sz="0" w:space="0" w:color="auto"/>
        <w:bottom w:val="none" w:sz="0" w:space="0" w:color="auto"/>
        <w:right w:val="none" w:sz="0" w:space="0" w:color="auto"/>
      </w:divBdr>
    </w:div>
    <w:div w:id="79252724">
      <w:bodyDiv w:val="1"/>
      <w:marLeft w:val="0"/>
      <w:marRight w:val="0"/>
      <w:marTop w:val="0"/>
      <w:marBottom w:val="0"/>
      <w:divBdr>
        <w:top w:val="none" w:sz="0" w:space="0" w:color="auto"/>
        <w:left w:val="none" w:sz="0" w:space="0" w:color="auto"/>
        <w:bottom w:val="none" w:sz="0" w:space="0" w:color="auto"/>
        <w:right w:val="none" w:sz="0" w:space="0" w:color="auto"/>
      </w:divBdr>
    </w:div>
    <w:div w:id="80490766">
      <w:bodyDiv w:val="1"/>
      <w:marLeft w:val="0"/>
      <w:marRight w:val="0"/>
      <w:marTop w:val="0"/>
      <w:marBottom w:val="0"/>
      <w:divBdr>
        <w:top w:val="none" w:sz="0" w:space="0" w:color="auto"/>
        <w:left w:val="none" w:sz="0" w:space="0" w:color="auto"/>
        <w:bottom w:val="none" w:sz="0" w:space="0" w:color="auto"/>
        <w:right w:val="none" w:sz="0" w:space="0" w:color="auto"/>
      </w:divBdr>
    </w:div>
    <w:div w:id="84347821">
      <w:bodyDiv w:val="1"/>
      <w:marLeft w:val="0"/>
      <w:marRight w:val="0"/>
      <w:marTop w:val="0"/>
      <w:marBottom w:val="0"/>
      <w:divBdr>
        <w:top w:val="none" w:sz="0" w:space="0" w:color="auto"/>
        <w:left w:val="none" w:sz="0" w:space="0" w:color="auto"/>
        <w:bottom w:val="none" w:sz="0" w:space="0" w:color="auto"/>
        <w:right w:val="none" w:sz="0" w:space="0" w:color="auto"/>
      </w:divBdr>
    </w:div>
    <w:div w:id="92826958">
      <w:bodyDiv w:val="1"/>
      <w:marLeft w:val="0"/>
      <w:marRight w:val="0"/>
      <w:marTop w:val="0"/>
      <w:marBottom w:val="0"/>
      <w:divBdr>
        <w:top w:val="none" w:sz="0" w:space="0" w:color="auto"/>
        <w:left w:val="none" w:sz="0" w:space="0" w:color="auto"/>
        <w:bottom w:val="none" w:sz="0" w:space="0" w:color="auto"/>
        <w:right w:val="none" w:sz="0" w:space="0" w:color="auto"/>
      </w:divBdr>
    </w:div>
    <w:div w:id="97873727">
      <w:bodyDiv w:val="1"/>
      <w:marLeft w:val="0"/>
      <w:marRight w:val="0"/>
      <w:marTop w:val="0"/>
      <w:marBottom w:val="0"/>
      <w:divBdr>
        <w:top w:val="none" w:sz="0" w:space="0" w:color="auto"/>
        <w:left w:val="none" w:sz="0" w:space="0" w:color="auto"/>
        <w:bottom w:val="none" w:sz="0" w:space="0" w:color="auto"/>
        <w:right w:val="none" w:sz="0" w:space="0" w:color="auto"/>
      </w:divBdr>
    </w:div>
    <w:div w:id="102967095">
      <w:bodyDiv w:val="1"/>
      <w:marLeft w:val="0"/>
      <w:marRight w:val="0"/>
      <w:marTop w:val="0"/>
      <w:marBottom w:val="0"/>
      <w:divBdr>
        <w:top w:val="none" w:sz="0" w:space="0" w:color="auto"/>
        <w:left w:val="none" w:sz="0" w:space="0" w:color="auto"/>
        <w:bottom w:val="none" w:sz="0" w:space="0" w:color="auto"/>
        <w:right w:val="none" w:sz="0" w:space="0" w:color="auto"/>
      </w:divBdr>
    </w:div>
    <w:div w:id="119343886">
      <w:bodyDiv w:val="1"/>
      <w:marLeft w:val="0"/>
      <w:marRight w:val="0"/>
      <w:marTop w:val="0"/>
      <w:marBottom w:val="0"/>
      <w:divBdr>
        <w:top w:val="none" w:sz="0" w:space="0" w:color="auto"/>
        <w:left w:val="none" w:sz="0" w:space="0" w:color="auto"/>
        <w:bottom w:val="none" w:sz="0" w:space="0" w:color="auto"/>
        <w:right w:val="none" w:sz="0" w:space="0" w:color="auto"/>
      </w:divBdr>
    </w:div>
    <w:div w:id="120195965">
      <w:bodyDiv w:val="1"/>
      <w:marLeft w:val="0"/>
      <w:marRight w:val="0"/>
      <w:marTop w:val="0"/>
      <w:marBottom w:val="0"/>
      <w:divBdr>
        <w:top w:val="none" w:sz="0" w:space="0" w:color="auto"/>
        <w:left w:val="none" w:sz="0" w:space="0" w:color="auto"/>
        <w:bottom w:val="none" w:sz="0" w:space="0" w:color="auto"/>
        <w:right w:val="none" w:sz="0" w:space="0" w:color="auto"/>
      </w:divBdr>
    </w:div>
    <w:div w:id="143476092">
      <w:bodyDiv w:val="1"/>
      <w:marLeft w:val="0"/>
      <w:marRight w:val="0"/>
      <w:marTop w:val="0"/>
      <w:marBottom w:val="0"/>
      <w:divBdr>
        <w:top w:val="none" w:sz="0" w:space="0" w:color="auto"/>
        <w:left w:val="none" w:sz="0" w:space="0" w:color="auto"/>
        <w:bottom w:val="none" w:sz="0" w:space="0" w:color="auto"/>
        <w:right w:val="none" w:sz="0" w:space="0" w:color="auto"/>
      </w:divBdr>
    </w:div>
    <w:div w:id="153879293">
      <w:bodyDiv w:val="1"/>
      <w:marLeft w:val="0"/>
      <w:marRight w:val="0"/>
      <w:marTop w:val="0"/>
      <w:marBottom w:val="0"/>
      <w:divBdr>
        <w:top w:val="none" w:sz="0" w:space="0" w:color="auto"/>
        <w:left w:val="none" w:sz="0" w:space="0" w:color="auto"/>
        <w:bottom w:val="none" w:sz="0" w:space="0" w:color="auto"/>
        <w:right w:val="none" w:sz="0" w:space="0" w:color="auto"/>
      </w:divBdr>
    </w:div>
    <w:div w:id="168757391">
      <w:bodyDiv w:val="1"/>
      <w:marLeft w:val="0"/>
      <w:marRight w:val="0"/>
      <w:marTop w:val="0"/>
      <w:marBottom w:val="0"/>
      <w:divBdr>
        <w:top w:val="none" w:sz="0" w:space="0" w:color="auto"/>
        <w:left w:val="none" w:sz="0" w:space="0" w:color="auto"/>
        <w:bottom w:val="none" w:sz="0" w:space="0" w:color="auto"/>
        <w:right w:val="none" w:sz="0" w:space="0" w:color="auto"/>
      </w:divBdr>
    </w:div>
    <w:div w:id="169804656">
      <w:bodyDiv w:val="1"/>
      <w:marLeft w:val="0"/>
      <w:marRight w:val="0"/>
      <w:marTop w:val="0"/>
      <w:marBottom w:val="0"/>
      <w:divBdr>
        <w:top w:val="none" w:sz="0" w:space="0" w:color="auto"/>
        <w:left w:val="none" w:sz="0" w:space="0" w:color="auto"/>
        <w:bottom w:val="none" w:sz="0" w:space="0" w:color="auto"/>
        <w:right w:val="none" w:sz="0" w:space="0" w:color="auto"/>
      </w:divBdr>
    </w:div>
    <w:div w:id="179786187">
      <w:bodyDiv w:val="1"/>
      <w:marLeft w:val="0"/>
      <w:marRight w:val="0"/>
      <w:marTop w:val="0"/>
      <w:marBottom w:val="0"/>
      <w:divBdr>
        <w:top w:val="none" w:sz="0" w:space="0" w:color="auto"/>
        <w:left w:val="none" w:sz="0" w:space="0" w:color="auto"/>
        <w:bottom w:val="none" w:sz="0" w:space="0" w:color="auto"/>
        <w:right w:val="none" w:sz="0" w:space="0" w:color="auto"/>
      </w:divBdr>
    </w:div>
    <w:div w:id="191112440">
      <w:bodyDiv w:val="1"/>
      <w:marLeft w:val="0"/>
      <w:marRight w:val="0"/>
      <w:marTop w:val="0"/>
      <w:marBottom w:val="0"/>
      <w:divBdr>
        <w:top w:val="none" w:sz="0" w:space="0" w:color="auto"/>
        <w:left w:val="none" w:sz="0" w:space="0" w:color="auto"/>
        <w:bottom w:val="none" w:sz="0" w:space="0" w:color="auto"/>
        <w:right w:val="none" w:sz="0" w:space="0" w:color="auto"/>
      </w:divBdr>
    </w:div>
    <w:div w:id="208953213">
      <w:bodyDiv w:val="1"/>
      <w:marLeft w:val="0"/>
      <w:marRight w:val="0"/>
      <w:marTop w:val="0"/>
      <w:marBottom w:val="0"/>
      <w:divBdr>
        <w:top w:val="none" w:sz="0" w:space="0" w:color="auto"/>
        <w:left w:val="none" w:sz="0" w:space="0" w:color="auto"/>
        <w:bottom w:val="none" w:sz="0" w:space="0" w:color="auto"/>
        <w:right w:val="none" w:sz="0" w:space="0" w:color="auto"/>
      </w:divBdr>
    </w:div>
    <w:div w:id="218632678">
      <w:bodyDiv w:val="1"/>
      <w:marLeft w:val="0"/>
      <w:marRight w:val="0"/>
      <w:marTop w:val="0"/>
      <w:marBottom w:val="0"/>
      <w:divBdr>
        <w:top w:val="none" w:sz="0" w:space="0" w:color="auto"/>
        <w:left w:val="none" w:sz="0" w:space="0" w:color="auto"/>
        <w:bottom w:val="none" w:sz="0" w:space="0" w:color="auto"/>
        <w:right w:val="none" w:sz="0" w:space="0" w:color="auto"/>
      </w:divBdr>
    </w:div>
    <w:div w:id="223418287">
      <w:bodyDiv w:val="1"/>
      <w:marLeft w:val="0"/>
      <w:marRight w:val="0"/>
      <w:marTop w:val="0"/>
      <w:marBottom w:val="0"/>
      <w:divBdr>
        <w:top w:val="none" w:sz="0" w:space="0" w:color="auto"/>
        <w:left w:val="none" w:sz="0" w:space="0" w:color="auto"/>
        <w:bottom w:val="none" w:sz="0" w:space="0" w:color="auto"/>
        <w:right w:val="none" w:sz="0" w:space="0" w:color="auto"/>
      </w:divBdr>
    </w:div>
    <w:div w:id="226037362">
      <w:bodyDiv w:val="1"/>
      <w:marLeft w:val="0"/>
      <w:marRight w:val="0"/>
      <w:marTop w:val="0"/>
      <w:marBottom w:val="0"/>
      <w:divBdr>
        <w:top w:val="none" w:sz="0" w:space="0" w:color="auto"/>
        <w:left w:val="none" w:sz="0" w:space="0" w:color="auto"/>
        <w:bottom w:val="none" w:sz="0" w:space="0" w:color="auto"/>
        <w:right w:val="none" w:sz="0" w:space="0" w:color="auto"/>
      </w:divBdr>
    </w:div>
    <w:div w:id="240407873">
      <w:bodyDiv w:val="1"/>
      <w:marLeft w:val="0"/>
      <w:marRight w:val="0"/>
      <w:marTop w:val="0"/>
      <w:marBottom w:val="0"/>
      <w:divBdr>
        <w:top w:val="none" w:sz="0" w:space="0" w:color="auto"/>
        <w:left w:val="none" w:sz="0" w:space="0" w:color="auto"/>
        <w:bottom w:val="none" w:sz="0" w:space="0" w:color="auto"/>
        <w:right w:val="none" w:sz="0" w:space="0" w:color="auto"/>
      </w:divBdr>
    </w:div>
    <w:div w:id="244803183">
      <w:bodyDiv w:val="1"/>
      <w:marLeft w:val="0"/>
      <w:marRight w:val="0"/>
      <w:marTop w:val="0"/>
      <w:marBottom w:val="0"/>
      <w:divBdr>
        <w:top w:val="none" w:sz="0" w:space="0" w:color="auto"/>
        <w:left w:val="none" w:sz="0" w:space="0" w:color="auto"/>
        <w:bottom w:val="none" w:sz="0" w:space="0" w:color="auto"/>
        <w:right w:val="none" w:sz="0" w:space="0" w:color="auto"/>
      </w:divBdr>
    </w:div>
    <w:div w:id="247276528">
      <w:bodyDiv w:val="1"/>
      <w:marLeft w:val="0"/>
      <w:marRight w:val="0"/>
      <w:marTop w:val="0"/>
      <w:marBottom w:val="0"/>
      <w:divBdr>
        <w:top w:val="none" w:sz="0" w:space="0" w:color="auto"/>
        <w:left w:val="none" w:sz="0" w:space="0" w:color="auto"/>
        <w:bottom w:val="none" w:sz="0" w:space="0" w:color="auto"/>
        <w:right w:val="none" w:sz="0" w:space="0" w:color="auto"/>
      </w:divBdr>
    </w:div>
    <w:div w:id="264921385">
      <w:bodyDiv w:val="1"/>
      <w:marLeft w:val="0"/>
      <w:marRight w:val="0"/>
      <w:marTop w:val="0"/>
      <w:marBottom w:val="0"/>
      <w:divBdr>
        <w:top w:val="none" w:sz="0" w:space="0" w:color="auto"/>
        <w:left w:val="none" w:sz="0" w:space="0" w:color="auto"/>
        <w:bottom w:val="none" w:sz="0" w:space="0" w:color="auto"/>
        <w:right w:val="none" w:sz="0" w:space="0" w:color="auto"/>
      </w:divBdr>
    </w:div>
    <w:div w:id="275603765">
      <w:bodyDiv w:val="1"/>
      <w:marLeft w:val="0"/>
      <w:marRight w:val="0"/>
      <w:marTop w:val="0"/>
      <w:marBottom w:val="0"/>
      <w:divBdr>
        <w:top w:val="none" w:sz="0" w:space="0" w:color="auto"/>
        <w:left w:val="none" w:sz="0" w:space="0" w:color="auto"/>
        <w:bottom w:val="none" w:sz="0" w:space="0" w:color="auto"/>
        <w:right w:val="none" w:sz="0" w:space="0" w:color="auto"/>
      </w:divBdr>
    </w:div>
    <w:div w:id="288052045">
      <w:bodyDiv w:val="1"/>
      <w:marLeft w:val="0"/>
      <w:marRight w:val="0"/>
      <w:marTop w:val="0"/>
      <w:marBottom w:val="0"/>
      <w:divBdr>
        <w:top w:val="none" w:sz="0" w:space="0" w:color="auto"/>
        <w:left w:val="none" w:sz="0" w:space="0" w:color="auto"/>
        <w:bottom w:val="none" w:sz="0" w:space="0" w:color="auto"/>
        <w:right w:val="none" w:sz="0" w:space="0" w:color="auto"/>
      </w:divBdr>
    </w:div>
    <w:div w:id="295839293">
      <w:bodyDiv w:val="1"/>
      <w:marLeft w:val="0"/>
      <w:marRight w:val="0"/>
      <w:marTop w:val="0"/>
      <w:marBottom w:val="0"/>
      <w:divBdr>
        <w:top w:val="none" w:sz="0" w:space="0" w:color="auto"/>
        <w:left w:val="none" w:sz="0" w:space="0" w:color="auto"/>
        <w:bottom w:val="none" w:sz="0" w:space="0" w:color="auto"/>
        <w:right w:val="none" w:sz="0" w:space="0" w:color="auto"/>
      </w:divBdr>
    </w:div>
    <w:div w:id="298918329">
      <w:bodyDiv w:val="1"/>
      <w:marLeft w:val="0"/>
      <w:marRight w:val="0"/>
      <w:marTop w:val="0"/>
      <w:marBottom w:val="0"/>
      <w:divBdr>
        <w:top w:val="none" w:sz="0" w:space="0" w:color="auto"/>
        <w:left w:val="none" w:sz="0" w:space="0" w:color="auto"/>
        <w:bottom w:val="none" w:sz="0" w:space="0" w:color="auto"/>
        <w:right w:val="none" w:sz="0" w:space="0" w:color="auto"/>
      </w:divBdr>
    </w:div>
    <w:div w:id="301620446">
      <w:bodyDiv w:val="1"/>
      <w:marLeft w:val="0"/>
      <w:marRight w:val="0"/>
      <w:marTop w:val="0"/>
      <w:marBottom w:val="0"/>
      <w:divBdr>
        <w:top w:val="none" w:sz="0" w:space="0" w:color="auto"/>
        <w:left w:val="none" w:sz="0" w:space="0" w:color="auto"/>
        <w:bottom w:val="none" w:sz="0" w:space="0" w:color="auto"/>
        <w:right w:val="none" w:sz="0" w:space="0" w:color="auto"/>
      </w:divBdr>
    </w:div>
    <w:div w:id="305013283">
      <w:bodyDiv w:val="1"/>
      <w:marLeft w:val="0"/>
      <w:marRight w:val="0"/>
      <w:marTop w:val="0"/>
      <w:marBottom w:val="0"/>
      <w:divBdr>
        <w:top w:val="none" w:sz="0" w:space="0" w:color="auto"/>
        <w:left w:val="none" w:sz="0" w:space="0" w:color="auto"/>
        <w:bottom w:val="none" w:sz="0" w:space="0" w:color="auto"/>
        <w:right w:val="none" w:sz="0" w:space="0" w:color="auto"/>
      </w:divBdr>
    </w:div>
    <w:div w:id="311906179">
      <w:bodyDiv w:val="1"/>
      <w:marLeft w:val="0"/>
      <w:marRight w:val="0"/>
      <w:marTop w:val="0"/>
      <w:marBottom w:val="0"/>
      <w:divBdr>
        <w:top w:val="none" w:sz="0" w:space="0" w:color="auto"/>
        <w:left w:val="none" w:sz="0" w:space="0" w:color="auto"/>
        <w:bottom w:val="none" w:sz="0" w:space="0" w:color="auto"/>
        <w:right w:val="none" w:sz="0" w:space="0" w:color="auto"/>
      </w:divBdr>
    </w:div>
    <w:div w:id="318193964">
      <w:bodyDiv w:val="1"/>
      <w:marLeft w:val="0"/>
      <w:marRight w:val="0"/>
      <w:marTop w:val="0"/>
      <w:marBottom w:val="0"/>
      <w:divBdr>
        <w:top w:val="none" w:sz="0" w:space="0" w:color="auto"/>
        <w:left w:val="none" w:sz="0" w:space="0" w:color="auto"/>
        <w:bottom w:val="none" w:sz="0" w:space="0" w:color="auto"/>
        <w:right w:val="none" w:sz="0" w:space="0" w:color="auto"/>
      </w:divBdr>
    </w:div>
    <w:div w:id="339427652">
      <w:bodyDiv w:val="1"/>
      <w:marLeft w:val="0"/>
      <w:marRight w:val="0"/>
      <w:marTop w:val="0"/>
      <w:marBottom w:val="0"/>
      <w:divBdr>
        <w:top w:val="none" w:sz="0" w:space="0" w:color="auto"/>
        <w:left w:val="none" w:sz="0" w:space="0" w:color="auto"/>
        <w:bottom w:val="none" w:sz="0" w:space="0" w:color="auto"/>
        <w:right w:val="none" w:sz="0" w:space="0" w:color="auto"/>
      </w:divBdr>
    </w:div>
    <w:div w:id="352417219">
      <w:bodyDiv w:val="1"/>
      <w:marLeft w:val="0"/>
      <w:marRight w:val="0"/>
      <w:marTop w:val="0"/>
      <w:marBottom w:val="0"/>
      <w:divBdr>
        <w:top w:val="none" w:sz="0" w:space="0" w:color="auto"/>
        <w:left w:val="none" w:sz="0" w:space="0" w:color="auto"/>
        <w:bottom w:val="none" w:sz="0" w:space="0" w:color="auto"/>
        <w:right w:val="none" w:sz="0" w:space="0" w:color="auto"/>
      </w:divBdr>
    </w:div>
    <w:div w:id="354579531">
      <w:bodyDiv w:val="1"/>
      <w:marLeft w:val="0"/>
      <w:marRight w:val="0"/>
      <w:marTop w:val="0"/>
      <w:marBottom w:val="0"/>
      <w:divBdr>
        <w:top w:val="none" w:sz="0" w:space="0" w:color="auto"/>
        <w:left w:val="none" w:sz="0" w:space="0" w:color="auto"/>
        <w:bottom w:val="none" w:sz="0" w:space="0" w:color="auto"/>
        <w:right w:val="none" w:sz="0" w:space="0" w:color="auto"/>
      </w:divBdr>
    </w:div>
    <w:div w:id="393041330">
      <w:bodyDiv w:val="1"/>
      <w:marLeft w:val="0"/>
      <w:marRight w:val="0"/>
      <w:marTop w:val="0"/>
      <w:marBottom w:val="0"/>
      <w:divBdr>
        <w:top w:val="none" w:sz="0" w:space="0" w:color="auto"/>
        <w:left w:val="none" w:sz="0" w:space="0" w:color="auto"/>
        <w:bottom w:val="none" w:sz="0" w:space="0" w:color="auto"/>
        <w:right w:val="none" w:sz="0" w:space="0" w:color="auto"/>
      </w:divBdr>
    </w:div>
    <w:div w:id="399643942">
      <w:bodyDiv w:val="1"/>
      <w:marLeft w:val="0"/>
      <w:marRight w:val="0"/>
      <w:marTop w:val="0"/>
      <w:marBottom w:val="0"/>
      <w:divBdr>
        <w:top w:val="none" w:sz="0" w:space="0" w:color="auto"/>
        <w:left w:val="none" w:sz="0" w:space="0" w:color="auto"/>
        <w:bottom w:val="none" w:sz="0" w:space="0" w:color="auto"/>
        <w:right w:val="none" w:sz="0" w:space="0" w:color="auto"/>
      </w:divBdr>
    </w:div>
    <w:div w:id="422190842">
      <w:bodyDiv w:val="1"/>
      <w:marLeft w:val="0"/>
      <w:marRight w:val="0"/>
      <w:marTop w:val="0"/>
      <w:marBottom w:val="0"/>
      <w:divBdr>
        <w:top w:val="none" w:sz="0" w:space="0" w:color="auto"/>
        <w:left w:val="none" w:sz="0" w:space="0" w:color="auto"/>
        <w:bottom w:val="none" w:sz="0" w:space="0" w:color="auto"/>
        <w:right w:val="none" w:sz="0" w:space="0" w:color="auto"/>
      </w:divBdr>
    </w:div>
    <w:div w:id="423453187">
      <w:bodyDiv w:val="1"/>
      <w:marLeft w:val="0"/>
      <w:marRight w:val="0"/>
      <w:marTop w:val="0"/>
      <w:marBottom w:val="0"/>
      <w:divBdr>
        <w:top w:val="none" w:sz="0" w:space="0" w:color="auto"/>
        <w:left w:val="none" w:sz="0" w:space="0" w:color="auto"/>
        <w:bottom w:val="none" w:sz="0" w:space="0" w:color="auto"/>
        <w:right w:val="none" w:sz="0" w:space="0" w:color="auto"/>
      </w:divBdr>
    </w:div>
    <w:div w:id="433478999">
      <w:bodyDiv w:val="1"/>
      <w:marLeft w:val="0"/>
      <w:marRight w:val="0"/>
      <w:marTop w:val="0"/>
      <w:marBottom w:val="0"/>
      <w:divBdr>
        <w:top w:val="none" w:sz="0" w:space="0" w:color="auto"/>
        <w:left w:val="none" w:sz="0" w:space="0" w:color="auto"/>
        <w:bottom w:val="none" w:sz="0" w:space="0" w:color="auto"/>
        <w:right w:val="none" w:sz="0" w:space="0" w:color="auto"/>
      </w:divBdr>
    </w:div>
    <w:div w:id="449976269">
      <w:bodyDiv w:val="1"/>
      <w:marLeft w:val="0"/>
      <w:marRight w:val="0"/>
      <w:marTop w:val="0"/>
      <w:marBottom w:val="0"/>
      <w:divBdr>
        <w:top w:val="none" w:sz="0" w:space="0" w:color="auto"/>
        <w:left w:val="none" w:sz="0" w:space="0" w:color="auto"/>
        <w:bottom w:val="none" w:sz="0" w:space="0" w:color="auto"/>
        <w:right w:val="none" w:sz="0" w:space="0" w:color="auto"/>
      </w:divBdr>
    </w:div>
    <w:div w:id="456920043">
      <w:bodyDiv w:val="1"/>
      <w:marLeft w:val="0"/>
      <w:marRight w:val="0"/>
      <w:marTop w:val="0"/>
      <w:marBottom w:val="0"/>
      <w:divBdr>
        <w:top w:val="none" w:sz="0" w:space="0" w:color="auto"/>
        <w:left w:val="none" w:sz="0" w:space="0" w:color="auto"/>
        <w:bottom w:val="none" w:sz="0" w:space="0" w:color="auto"/>
        <w:right w:val="none" w:sz="0" w:space="0" w:color="auto"/>
      </w:divBdr>
    </w:div>
    <w:div w:id="486869256">
      <w:bodyDiv w:val="1"/>
      <w:marLeft w:val="0"/>
      <w:marRight w:val="0"/>
      <w:marTop w:val="0"/>
      <w:marBottom w:val="0"/>
      <w:divBdr>
        <w:top w:val="none" w:sz="0" w:space="0" w:color="auto"/>
        <w:left w:val="none" w:sz="0" w:space="0" w:color="auto"/>
        <w:bottom w:val="none" w:sz="0" w:space="0" w:color="auto"/>
        <w:right w:val="none" w:sz="0" w:space="0" w:color="auto"/>
      </w:divBdr>
    </w:div>
    <w:div w:id="493373408">
      <w:bodyDiv w:val="1"/>
      <w:marLeft w:val="0"/>
      <w:marRight w:val="0"/>
      <w:marTop w:val="0"/>
      <w:marBottom w:val="0"/>
      <w:divBdr>
        <w:top w:val="none" w:sz="0" w:space="0" w:color="auto"/>
        <w:left w:val="none" w:sz="0" w:space="0" w:color="auto"/>
        <w:bottom w:val="none" w:sz="0" w:space="0" w:color="auto"/>
        <w:right w:val="none" w:sz="0" w:space="0" w:color="auto"/>
      </w:divBdr>
    </w:div>
    <w:div w:id="508830920">
      <w:bodyDiv w:val="1"/>
      <w:marLeft w:val="0"/>
      <w:marRight w:val="0"/>
      <w:marTop w:val="0"/>
      <w:marBottom w:val="0"/>
      <w:divBdr>
        <w:top w:val="none" w:sz="0" w:space="0" w:color="auto"/>
        <w:left w:val="none" w:sz="0" w:space="0" w:color="auto"/>
        <w:bottom w:val="none" w:sz="0" w:space="0" w:color="auto"/>
        <w:right w:val="none" w:sz="0" w:space="0" w:color="auto"/>
      </w:divBdr>
    </w:div>
    <w:div w:id="524909555">
      <w:bodyDiv w:val="1"/>
      <w:marLeft w:val="0"/>
      <w:marRight w:val="0"/>
      <w:marTop w:val="0"/>
      <w:marBottom w:val="0"/>
      <w:divBdr>
        <w:top w:val="none" w:sz="0" w:space="0" w:color="auto"/>
        <w:left w:val="none" w:sz="0" w:space="0" w:color="auto"/>
        <w:bottom w:val="none" w:sz="0" w:space="0" w:color="auto"/>
        <w:right w:val="none" w:sz="0" w:space="0" w:color="auto"/>
      </w:divBdr>
    </w:div>
    <w:div w:id="535776000">
      <w:bodyDiv w:val="1"/>
      <w:marLeft w:val="0"/>
      <w:marRight w:val="0"/>
      <w:marTop w:val="0"/>
      <w:marBottom w:val="0"/>
      <w:divBdr>
        <w:top w:val="none" w:sz="0" w:space="0" w:color="auto"/>
        <w:left w:val="none" w:sz="0" w:space="0" w:color="auto"/>
        <w:bottom w:val="none" w:sz="0" w:space="0" w:color="auto"/>
        <w:right w:val="none" w:sz="0" w:space="0" w:color="auto"/>
      </w:divBdr>
    </w:div>
    <w:div w:id="545989982">
      <w:bodyDiv w:val="1"/>
      <w:marLeft w:val="0"/>
      <w:marRight w:val="0"/>
      <w:marTop w:val="0"/>
      <w:marBottom w:val="0"/>
      <w:divBdr>
        <w:top w:val="none" w:sz="0" w:space="0" w:color="auto"/>
        <w:left w:val="none" w:sz="0" w:space="0" w:color="auto"/>
        <w:bottom w:val="none" w:sz="0" w:space="0" w:color="auto"/>
        <w:right w:val="none" w:sz="0" w:space="0" w:color="auto"/>
      </w:divBdr>
    </w:div>
    <w:div w:id="567039759">
      <w:bodyDiv w:val="1"/>
      <w:marLeft w:val="0"/>
      <w:marRight w:val="0"/>
      <w:marTop w:val="0"/>
      <w:marBottom w:val="0"/>
      <w:divBdr>
        <w:top w:val="none" w:sz="0" w:space="0" w:color="auto"/>
        <w:left w:val="none" w:sz="0" w:space="0" w:color="auto"/>
        <w:bottom w:val="none" w:sz="0" w:space="0" w:color="auto"/>
        <w:right w:val="none" w:sz="0" w:space="0" w:color="auto"/>
      </w:divBdr>
    </w:div>
    <w:div w:id="634994338">
      <w:bodyDiv w:val="1"/>
      <w:marLeft w:val="0"/>
      <w:marRight w:val="0"/>
      <w:marTop w:val="0"/>
      <w:marBottom w:val="0"/>
      <w:divBdr>
        <w:top w:val="none" w:sz="0" w:space="0" w:color="auto"/>
        <w:left w:val="none" w:sz="0" w:space="0" w:color="auto"/>
        <w:bottom w:val="none" w:sz="0" w:space="0" w:color="auto"/>
        <w:right w:val="none" w:sz="0" w:space="0" w:color="auto"/>
      </w:divBdr>
    </w:div>
    <w:div w:id="637145966">
      <w:bodyDiv w:val="1"/>
      <w:marLeft w:val="0"/>
      <w:marRight w:val="0"/>
      <w:marTop w:val="0"/>
      <w:marBottom w:val="0"/>
      <w:divBdr>
        <w:top w:val="none" w:sz="0" w:space="0" w:color="auto"/>
        <w:left w:val="none" w:sz="0" w:space="0" w:color="auto"/>
        <w:bottom w:val="none" w:sz="0" w:space="0" w:color="auto"/>
        <w:right w:val="none" w:sz="0" w:space="0" w:color="auto"/>
      </w:divBdr>
    </w:div>
    <w:div w:id="641235207">
      <w:bodyDiv w:val="1"/>
      <w:marLeft w:val="0"/>
      <w:marRight w:val="0"/>
      <w:marTop w:val="0"/>
      <w:marBottom w:val="0"/>
      <w:divBdr>
        <w:top w:val="none" w:sz="0" w:space="0" w:color="auto"/>
        <w:left w:val="none" w:sz="0" w:space="0" w:color="auto"/>
        <w:bottom w:val="none" w:sz="0" w:space="0" w:color="auto"/>
        <w:right w:val="none" w:sz="0" w:space="0" w:color="auto"/>
      </w:divBdr>
    </w:div>
    <w:div w:id="653412135">
      <w:bodyDiv w:val="1"/>
      <w:marLeft w:val="0"/>
      <w:marRight w:val="0"/>
      <w:marTop w:val="0"/>
      <w:marBottom w:val="0"/>
      <w:divBdr>
        <w:top w:val="none" w:sz="0" w:space="0" w:color="auto"/>
        <w:left w:val="none" w:sz="0" w:space="0" w:color="auto"/>
        <w:bottom w:val="none" w:sz="0" w:space="0" w:color="auto"/>
        <w:right w:val="none" w:sz="0" w:space="0" w:color="auto"/>
      </w:divBdr>
    </w:div>
    <w:div w:id="686760955">
      <w:bodyDiv w:val="1"/>
      <w:marLeft w:val="0"/>
      <w:marRight w:val="0"/>
      <w:marTop w:val="0"/>
      <w:marBottom w:val="0"/>
      <w:divBdr>
        <w:top w:val="none" w:sz="0" w:space="0" w:color="auto"/>
        <w:left w:val="none" w:sz="0" w:space="0" w:color="auto"/>
        <w:bottom w:val="none" w:sz="0" w:space="0" w:color="auto"/>
        <w:right w:val="none" w:sz="0" w:space="0" w:color="auto"/>
      </w:divBdr>
    </w:div>
    <w:div w:id="690304151">
      <w:bodyDiv w:val="1"/>
      <w:marLeft w:val="0"/>
      <w:marRight w:val="0"/>
      <w:marTop w:val="0"/>
      <w:marBottom w:val="0"/>
      <w:divBdr>
        <w:top w:val="none" w:sz="0" w:space="0" w:color="auto"/>
        <w:left w:val="none" w:sz="0" w:space="0" w:color="auto"/>
        <w:bottom w:val="none" w:sz="0" w:space="0" w:color="auto"/>
        <w:right w:val="none" w:sz="0" w:space="0" w:color="auto"/>
      </w:divBdr>
    </w:div>
    <w:div w:id="718627511">
      <w:bodyDiv w:val="1"/>
      <w:marLeft w:val="0"/>
      <w:marRight w:val="0"/>
      <w:marTop w:val="0"/>
      <w:marBottom w:val="0"/>
      <w:divBdr>
        <w:top w:val="none" w:sz="0" w:space="0" w:color="auto"/>
        <w:left w:val="none" w:sz="0" w:space="0" w:color="auto"/>
        <w:bottom w:val="none" w:sz="0" w:space="0" w:color="auto"/>
        <w:right w:val="none" w:sz="0" w:space="0" w:color="auto"/>
      </w:divBdr>
      <w:divsChild>
        <w:div w:id="75324656">
          <w:marLeft w:val="0"/>
          <w:marRight w:val="0"/>
          <w:marTop w:val="0"/>
          <w:marBottom w:val="0"/>
          <w:divBdr>
            <w:top w:val="none" w:sz="0" w:space="0" w:color="auto"/>
            <w:left w:val="none" w:sz="0" w:space="0" w:color="auto"/>
            <w:bottom w:val="none" w:sz="0" w:space="0" w:color="auto"/>
            <w:right w:val="none" w:sz="0" w:space="0" w:color="auto"/>
          </w:divBdr>
        </w:div>
        <w:div w:id="105470973">
          <w:marLeft w:val="0"/>
          <w:marRight w:val="0"/>
          <w:marTop w:val="0"/>
          <w:marBottom w:val="0"/>
          <w:divBdr>
            <w:top w:val="none" w:sz="0" w:space="0" w:color="auto"/>
            <w:left w:val="none" w:sz="0" w:space="0" w:color="auto"/>
            <w:bottom w:val="none" w:sz="0" w:space="0" w:color="auto"/>
            <w:right w:val="none" w:sz="0" w:space="0" w:color="auto"/>
          </w:divBdr>
        </w:div>
        <w:div w:id="381828008">
          <w:marLeft w:val="0"/>
          <w:marRight w:val="0"/>
          <w:marTop w:val="0"/>
          <w:marBottom w:val="0"/>
          <w:divBdr>
            <w:top w:val="none" w:sz="0" w:space="0" w:color="auto"/>
            <w:left w:val="none" w:sz="0" w:space="0" w:color="auto"/>
            <w:bottom w:val="none" w:sz="0" w:space="0" w:color="auto"/>
            <w:right w:val="none" w:sz="0" w:space="0" w:color="auto"/>
          </w:divBdr>
        </w:div>
        <w:div w:id="442263535">
          <w:marLeft w:val="0"/>
          <w:marRight w:val="0"/>
          <w:marTop w:val="0"/>
          <w:marBottom w:val="0"/>
          <w:divBdr>
            <w:top w:val="none" w:sz="0" w:space="0" w:color="auto"/>
            <w:left w:val="none" w:sz="0" w:space="0" w:color="auto"/>
            <w:bottom w:val="none" w:sz="0" w:space="0" w:color="auto"/>
            <w:right w:val="none" w:sz="0" w:space="0" w:color="auto"/>
          </w:divBdr>
        </w:div>
        <w:div w:id="804813710">
          <w:marLeft w:val="0"/>
          <w:marRight w:val="0"/>
          <w:marTop w:val="0"/>
          <w:marBottom w:val="0"/>
          <w:divBdr>
            <w:top w:val="none" w:sz="0" w:space="0" w:color="auto"/>
            <w:left w:val="none" w:sz="0" w:space="0" w:color="auto"/>
            <w:bottom w:val="none" w:sz="0" w:space="0" w:color="auto"/>
            <w:right w:val="none" w:sz="0" w:space="0" w:color="auto"/>
          </w:divBdr>
        </w:div>
        <w:div w:id="815335884">
          <w:marLeft w:val="0"/>
          <w:marRight w:val="0"/>
          <w:marTop w:val="0"/>
          <w:marBottom w:val="0"/>
          <w:divBdr>
            <w:top w:val="none" w:sz="0" w:space="0" w:color="auto"/>
            <w:left w:val="none" w:sz="0" w:space="0" w:color="auto"/>
            <w:bottom w:val="none" w:sz="0" w:space="0" w:color="auto"/>
            <w:right w:val="none" w:sz="0" w:space="0" w:color="auto"/>
          </w:divBdr>
        </w:div>
        <w:div w:id="1059597019">
          <w:marLeft w:val="0"/>
          <w:marRight w:val="0"/>
          <w:marTop w:val="0"/>
          <w:marBottom w:val="0"/>
          <w:divBdr>
            <w:top w:val="none" w:sz="0" w:space="0" w:color="auto"/>
            <w:left w:val="none" w:sz="0" w:space="0" w:color="auto"/>
            <w:bottom w:val="none" w:sz="0" w:space="0" w:color="auto"/>
            <w:right w:val="none" w:sz="0" w:space="0" w:color="auto"/>
          </w:divBdr>
        </w:div>
        <w:div w:id="1337419322">
          <w:marLeft w:val="0"/>
          <w:marRight w:val="0"/>
          <w:marTop w:val="0"/>
          <w:marBottom w:val="0"/>
          <w:divBdr>
            <w:top w:val="none" w:sz="0" w:space="0" w:color="auto"/>
            <w:left w:val="none" w:sz="0" w:space="0" w:color="auto"/>
            <w:bottom w:val="none" w:sz="0" w:space="0" w:color="auto"/>
            <w:right w:val="none" w:sz="0" w:space="0" w:color="auto"/>
          </w:divBdr>
        </w:div>
        <w:div w:id="1575432281">
          <w:marLeft w:val="0"/>
          <w:marRight w:val="0"/>
          <w:marTop w:val="0"/>
          <w:marBottom w:val="0"/>
          <w:divBdr>
            <w:top w:val="none" w:sz="0" w:space="0" w:color="auto"/>
            <w:left w:val="none" w:sz="0" w:space="0" w:color="auto"/>
            <w:bottom w:val="none" w:sz="0" w:space="0" w:color="auto"/>
            <w:right w:val="none" w:sz="0" w:space="0" w:color="auto"/>
          </w:divBdr>
        </w:div>
        <w:div w:id="1722437187">
          <w:marLeft w:val="0"/>
          <w:marRight w:val="0"/>
          <w:marTop w:val="0"/>
          <w:marBottom w:val="0"/>
          <w:divBdr>
            <w:top w:val="none" w:sz="0" w:space="0" w:color="auto"/>
            <w:left w:val="none" w:sz="0" w:space="0" w:color="auto"/>
            <w:bottom w:val="none" w:sz="0" w:space="0" w:color="auto"/>
            <w:right w:val="none" w:sz="0" w:space="0" w:color="auto"/>
          </w:divBdr>
        </w:div>
        <w:div w:id="1847134570">
          <w:marLeft w:val="0"/>
          <w:marRight w:val="0"/>
          <w:marTop w:val="0"/>
          <w:marBottom w:val="0"/>
          <w:divBdr>
            <w:top w:val="none" w:sz="0" w:space="0" w:color="auto"/>
            <w:left w:val="none" w:sz="0" w:space="0" w:color="auto"/>
            <w:bottom w:val="none" w:sz="0" w:space="0" w:color="auto"/>
            <w:right w:val="none" w:sz="0" w:space="0" w:color="auto"/>
          </w:divBdr>
        </w:div>
        <w:div w:id="1873834335">
          <w:marLeft w:val="0"/>
          <w:marRight w:val="0"/>
          <w:marTop w:val="0"/>
          <w:marBottom w:val="0"/>
          <w:divBdr>
            <w:top w:val="none" w:sz="0" w:space="0" w:color="auto"/>
            <w:left w:val="none" w:sz="0" w:space="0" w:color="auto"/>
            <w:bottom w:val="none" w:sz="0" w:space="0" w:color="auto"/>
            <w:right w:val="none" w:sz="0" w:space="0" w:color="auto"/>
          </w:divBdr>
        </w:div>
        <w:div w:id="1997873448">
          <w:marLeft w:val="0"/>
          <w:marRight w:val="0"/>
          <w:marTop w:val="0"/>
          <w:marBottom w:val="0"/>
          <w:divBdr>
            <w:top w:val="none" w:sz="0" w:space="0" w:color="auto"/>
            <w:left w:val="none" w:sz="0" w:space="0" w:color="auto"/>
            <w:bottom w:val="none" w:sz="0" w:space="0" w:color="auto"/>
            <w:right w:val="none" w:sz="0" w:space="0" w:color="auto"/>
          </w:divBdr>
        </w:div>
      </w:divsChild>
    </w:div>
    <w:div w:id="722751796">
      <w:bodyDiv w:val="1"/>
      <w:marLeft w:val="0"/>
      <w:marRight w:val="0"/>
      <w:marTop w:val="0"/>
      <w:marBottom w:val="0"/>
      <w:divBdr>
        <w:top w:val="none" w:sz="0" w:space="0" w:color="auto"/>
        <w:left w:val="none" w:sz="0" w:space="0" w:color="auto"/>
        <w:bottom w:val="none" w:sz="0" w:space="0" w:color="auto"/>
        <w:right w:val="none" w:sz="0" w:space="0" w:color="auto"/>
      </w:divBdr>
    </w:div>
    <w:div w:id="724835811">
      <w:bodyDiv w:val="1"/>
      <w:marLeft w:val="0"/>
      <w:marRight w:val="0"/>
      <w:marTop w:val="0"/>
      <w:marBottom w:val="0"/>
      <w:divBdr>
        <w:top w:val="none" w:sz="0" w:space="0" w:color="auto"/>
        <w:left w:val="none" w:sz="0" w:space="0" w:color="auto"/>
        <w:bottom w:val="none" w:sz="0" w:space="0" w:color="auto"/>
        <w:right w:val="none" w:sz="0" w:space="0" w:color="auto"/>
      </w:divBdr>
    </w:div>
    <w:div w:id="742944759">
      <w:bodyDiv w:val="1"/>
      <w:marLeft w:val="0"/>
      <w:marRight w:val="0"/>
      <w:marTop w:val="0"/>
      <w:marBottom w:val="0"/>
      <w:divBdr>
        <w:top w:val="none" w:sz="0" w:space="0" w:color="auto"/>
        <w:left w:val="none" w:sz="0" w:space="0" w:color="auto"/>
        <w:bottom w:val="none" w:sz="0" w:space="0" w:color="auto"/>
        <w:right w:val="none" w:sz="0" w:space="0" w:color="auto"/>
      </w:divBdr>
    </w:div>
    <w:div w:id="744379691">
      <w:bodyDiv w:val="1"/>
      <w:marLeft w:val="0"/>
      <w:marRight w:val="0"/>
      <w:marTop w:val="0"/>
      <w:marBottom w:val="0"/>
      <w:divBdr>
        <w:top w:val="none" w:sz="0" w:space="0" w:color="auto"/>
        <w:left w:val="none" w:sz="0" w:space="0" w:color="auto"/>
        <w:bottom w:val="none" w:sz="0" w:space="0" w:color="auto"/>
        <w:right w:val="none" w:sz="0" w:space="0" w:color="auto"/>
      </w:divBdr>
    </w:div>
    <w:div w:id="773596105">
      <w:bodyDiv w:val="1"/>
      <w:marLeft w:val="0"/>
      <w:marRight w:val="0"/>
      <w:marTop w:val="0"/>
      <w:marBottom w:val="0"/>
      <w:divBdr>
        <w:top w:val="none" w:sz="0" w:space="0" w:color="auto"/>
        <w:left w:val="none" w:sz="0" w:space="0" w:color="auto"/>
        <w:bottom w:val="none" w:sz="0" w:space="0" w:color="auto"/>
        <w:right w:val="none" w:sz="0" w:space="0" w:color="auto"/>
      </w:divBdr>
    </w:div>
    <w:div w:id="773674375">
      <w:bodyDiv w:val="1"/>
      <w:marLeft w:val="0"/>
      <w:marRight w:val="0"/>
      <w:marTop w:val="0"/>
      <w:marBottom w:val="0"/>
      <w:divBdr>
        <w:top w:val="none" w:sz="0" w:space="0" w:color="auto"/>
        <w:left w:val="none" w:sz="0" w:space="0" w:color="auto"/>
        <w:bottom w:val="none" w:sz="0" w:space="0" w:color="auto"/>
        <w:right w:val="none" w:sz="0" w:space="0" w:color="auto"/>
      </w:divBdr>
    </w:div>
    <w:div w:id="779760231">
      <w:bodyDiv w:val="1"/>
      <w:marLeft w:val="0"/>
      <w:marRight w:val="0"/>
      <w:marTop w:val="0"/>
      <w:marBottom w:val="0"/>
      <w:divBdr>
        <w:top w:val="none" w:sz="0" w:space="0" w:color="auto"/>
        <w:left w:val="none" w:sz="0" w:space="0" w:color="auto"/>
        <w:bottom w:val="none" w:sz="0" w:space="0" w:color="auto"/>
        <w:right w:val="none" w:sz="0" w:space="0" w:color="auto"/>
      </w:divBdr>
    </w:div>
    <w:div w:id="800535308">
      <w:bodyDiv w:val="1"/>
      <w:marLeft w:val="0"/>
      <w:marRight w:val="0"/>
      <w:marTop w:val="0"/>
      <w:marBottom w:val="0"/>
      <w:divBdr>
        <w:top w:val="none" w:sz="0" w:space="0" w:color="auto"/>
        <w:left w:val="none" w:sz="0" w:space="0" w:color="auto"/>
        <w:bottom w:val="none" w:sz="0" w:space="0" w:color="auto"/>
        <w:right w:val="none" w:sz="0" w:space="0" w:color="auto"/>
      </w:divBdr>
    </w:div>
    <w:div w:id="815299068">
      <w:bodyDiv w:val="1"/>
      <w:marLeft w:val="0"/>
      <w:marRight w:val="0"/>
      <w:marTop w:val="0"/>
      <w:marBottom w:val="0"/>
      <w:divBdr>
        <w:top w:val="none" w:sz="0" w:space="0" w:color="auto"/>
        <w:left w:val="none" w:sz="0" w:space="0" w:color="auto"/>
        <w:bottom w:val="none" w:sz="0" w:space="0" w:color="auto"/>
        <w:right w:val="none" w:sz="0" w:space="0" w:color="auto"/>
      </w:divBdr>
    </w:div>
    <w:div w:id="815992825">
      <w:bodyDiv w:val="1"/>
      <w:marLeft w:val="0"/>
      <w:marRight w:val="0"/>
      <w:marTop w:val="0"/>
      <w:marBottom w:val="0"/>
      <w:divBdr>
        <w:top w:val="none" w:sz="0" w:space="0" w:color="auto"/>
        <w:left w:val="none" w:sz="0" w:space="0" w:color="auto"/>
        <w:bottom w:val="none" w:sz="0" w:space="0" w:color="auto"/>
        <w:right w:val="none" w:sz="0" w:space="0" w:color="auto"/>
      </w:divBdr>
    </w:div>
    <w:div w:id="822280891">
      <w:bodyDiv w:val="1"/>
      <w:marLeft w:val="0"/>
      <w:marRight w:val="0"/>
      <w:marTop w:val="0"/>
      <w:marBottom w:val="0"/>
      <w:divBdr>
        <w:top w:val="none" w:sz="0" w:space="0" w:color="auto"/>
        <w:left w:val="none" w:sz="0" w:space="0" w:color="auto"/>
        <w:bottom w:val="none" w:sz="0" w:space="0" w:color="auto"/>
        <w:right w:val="none" w:sz="0" w:space="0" w:color="auto"/>
      </w:divBdr>
    </w:div>
    <w:div w:id="840050060">
      <w:bodyDiv w:val="1"/>
      <w:marLeft w:val="0"/>
      <w:marRight w:val="0"/>
      <w:marTop w:val="0"/>
      <w:marBottom w:val="0"/>
      <w:divBdr>
        <w:top w:val="none" w:sz="0" w:space="0" w:color="auto"/>
        <w:left w:val="none" w:sz="0" w:space="0" w:color="auto"/>
        <w:bottom w:val="none" w:sz="0" w:space="0" w:color="auto"/>
        <w:right w:val="none" w:sz="0" w:space="0" w:color="auto"/>
      </w:divBdr>
    </w:div>
    <w:div w:id="841437503">
      <w:bodyDiv w:val="1"/>
      <w:marLeft w:val="0"/>
      <w:marRight w:val="0"/>
      <w:marTop w:val="0"/>
      <w:marBottom w:val="0"/>
      <w:divBdr>
        <w:top w:val="none" w:sz="0" w:space="0" w:color="auto"/>
        <w:left w:val="none" w:sz="0" w:space="0" w:color="auto"/>
        <w:bottom w:val="none" w:sz="0" w:space="0" w:color="auto"/>
        <w:right w:val="none" w:sz="0" w:space="0" w:color="auto"/>
      </w:divBdr>
    </w:div>
    <w:div w:id="880167171">
      <w:bodyDiv w:val="1"/>
      <w:marLeft w:val="0"/>
      <w:marRight w:val="0"/>
      <w:marTop w:val="0"/>
      <w:marBottom w:val="0"/>
      <w:divBdr>
        <w:top w:val="none" w:sz="0" w:space="0" w:color="auto"/>
        <w:left w:val="none" w:sz="0" w:space="0" w:color="auto"/>
        <w:bottom w:val="none" w:sz="0" w:space="0" w:color="auto"/>
        <w:right w:val="none" w:sz="0" w:space="0" w:color="auto"/>
      </w:divBdr>
    </w:div>
    <w:div w:id="882399316">
      <w:bodyDiv w:val="1"/>
      <w:marLeft w:val="0"/>
      <w:marRight w:val="0"/>
      <w:marTop w:val="0"/>
      <w:marBottom w:val="0"/>
      <w:divBdr>
        <w:top w:val="none" w:sz="0" w:space="0" w:color="auto"/>
        <w:left w:val="none" w:sz="0" w:space="0" w:color="auto"/>
        <w:bottom w:val="none" w:sz="0" w:space="0" w:color="auto"/>
        <w:right w:val="none" w:sz="0" w:space="0" w:color="auto"/>
      </w:divBdr>
    </w:div>
    <w:div w:id="890310396">
      <w:bodyDiv w:val="1"/>
      <w:marLeft w:val="0"/>
      <w:marRight w:val="0"/>
      <w:marTop w:val="0"/>
      <w:marBottom w:val="0"/>
      <w:divBdr>
        <w:top w:val="none" w:sz="0" w:space="0" w:color="auto"/>
        <w:left w:val="none" w:sz="0" w:space="0" w:color="auto"/>
        <w:bottom w:val="none" w:sz="0" w:space="0" w:color="auto"/>
        <w:right w:val="none" w:sz="0" w:space="0" w:color="auto"/>
      </w:divBdr>
    </w:div>
    <w:div w:id="891116726">
      <w:bodyDiv w:val="1"/>
      <w:marLeft w:val="0"/>
      <w:marRight w:val="0"/>
      <w:marTop w:val="0"/>
      <w:marBottom w:val="0"/>
      <w:divBdr>
        <w:top w:val="none" w:sz="0" w:space="0" w:color="auto"/>
        <w:left w:val="none" w:sz="0" w:space="0" w:color="auto"/>
        <w:bottom w:val="none" w:sz="0" w:space="0" w:color="auto"/>
        <w:right w:val="none" w:sz="0" w:space="0" w:color="auto"/>
      </w:divBdr>
    </w:div>
    <w:div w:id="898587197">
      <w:bodyDiv w:val="1"/>
      <w:marLeft w:val="0"/>
      <w:marRight w:val="0"/>
      <w:marTop w:val="0"/>
      <w:marBottom w:val="0"/>
      <w:divBdr>
        <w:top w:val="none" w:sz="0" w:space="0" w:color="auto"/>
        <w:left w:val="none" w:sz="0" w:space="0" w:color="auto"/>
        <w:bottom w:val="none" w:sz="0" w:space="0" w:color="auto"/>
        <w:right w:val="none" w:sz="0" w:space="0" w:color="auto"/>
      </w:divBdr>
    </w:div>
    <w:div w:id="915475610">
      <w:bodyDiv w:val="1"/>
      <w:marLeft w:val="0"/>
      <w:marRight w:val="0"/>
      <w:marTop w:val="0"/>
      <w:marBottom w:val="0"/>
      <w:divBdr>
        <w:top w:val="none" w:sz="0" w:space="0" w:color="auto"/>
        <w:left w:val="none" w:sz="0" w:space="0" w:color="auto"/>
        <w:bottom w:val="none" w:sz="0" w:space="0" w:color="auto"/>
        <w:right w:val="none" w:sz="0" w:space="0" w:color="auto"/>
      </w:divBdr>
    </w:div>
    <w:div w:id="918294447">
      <w:bodyDiv w:val="1"/>
      <w:marLeft w:val="0"/>
      <w:marRight w:val="0"/>
      <w:marTop w:val="0"/>
      <w:marBottom w:val="0"/>
      <w:divBdr>
        <w:top w:val="none" w:sz="0" w:space="0" w:color="auto"/>
        <w:left w:val="none" w:sz="0" w:space="0" w:color="auto"/>
        <w:bottom w:val="none" w:sz="0" w:space="0" w:color="auto"/>
        <w:right w:val="none" w:sz="0" w:space="0" w:color="auto"/>
      </w:divBdr>
    </w:div>
    <w:div w:id="925578372">
      <w:bodyDiv w:val="1"/>
      <w:marLeft w:val="0"/>
      <w:marRight w:val="0"/>
      <w:marTop w:val="0"/>
      <w:marBottom w:val="0"/>
      <w:divBdr>
        <w:top w:val="none" w:sz="0" w:space="0" w:color="auto"/>
        <w:left w:val="none" w:sz="0" w:space="0" w:color="auto"/>
        <w:bottom w:val="none" w:sz="0" w:space="0" w:color="auto"/>
        <w:right w:val="none" w:sz="0" w:space="0" w:color="auto"/>
      </w:divBdr>
    </w:div>
    <w:div w:id="927806046">
      <w:bodyDiv w:val="1"/>
      <w:marLeft w:val="0"/>
      <w:marRight w:val="0"/>
      <w:marTop w:val="0"/>
      <w:marBottom w:val="0"/>
      <w:divBdr>
        <w:top w:val="none" w:sz="0" w:space="0" w:color="auto"/>
        <w:left w:val="none" w:sz="0" w:space="0" w:color="auto"/>
        <w:bottom w:val="none" w:sz="0" w:space="0" w:color="auto"/>
        <w:right w:val="none" w:sz="0" w:space="0" w:color="auto"/>
      </w:divBdr>
    </w:div>
    <w:div w:id="933513113">
      <w:bodyDiv w:val="1"/>
      <w:marLeft w:val="0"/>
      <w:marRight w:val="0"/>
      <w:marTop w:val="0"/>
      <w:marBottom w:val="0"/>
      <w:divBdr>
        <w:top w:val="none" w:sz="0" w:space="0" w:color="auto"/>
        <w:left w:val="none" w:sz="0" w:space="0" w:color="auto"/>
        <w:bottom w:val="none" w:sz="0" w:space="0" w:color="auto"/>
        <w:right w:val="none" w:sz="0" w:space="0" w:color="auto"/>
      </w:divBdr>
    </w:div>
    <w:div w:id="934556825">
      <w:bodyDiv w:val="1"/>
      <w:marLeft w:val="0"/>
      <w:marRight w:val="0"/>
      <w:marTop w:val="0"/>
      <w:marBottom w:val="0"/>
      <w:divBdr>
        <w:top w:val="none" w:sz="0" w:space="0" w:color="auto"/>
        <w:left w:val="none" w:sz="0" w:space="0" w:color="auto"/>
        <w:bottom w:val="none" w:sz="0" w:space="0" w:color="auto"/>
        <w:right w:val="none" w:sz="0" w:space="0" w:color="auto"/>
      </w:divBdr>
    </w:div>
    <w:div w:id="972755085">
      <w:bodyDiv w:val="1"/>
      <w:marLeft w:val="0"/>
      <w:marRight w:val="0"/>
      <w:marTop w:val="0"/>
      <w:marBottom w:val="0"/>
      <w:divBdr>
        <w:top w:val="none" w:sz="0" w:space="0" w:color="auto"/>
        <w:left w:val="none" w:sz="0" w:space="0" w:color="auto"/>
        <w:bottom w:val="none" w:sz="0" w:space="0" w:color="auto"/>
        <w:right w:val="none" w:sz="0" w:space="0" w:color="auto"/>
      </w:divBdr>
    </w:div>
    <w:div w:id="975599725">
      <w:bodyDiv w:val="1"/>
      <w:marLeft w:val="0"/>
      <w:marRight w:val="0"/>
      <w:marTop w:val="0"/>
      <w:marBottom w:val="0"/>
      <w:divBdr>
        <w:top w:val="none" w:sz="0" w:space="0" w:color="auto"/>
        <w:left w:val="none" w:sz="0" w:space="0" w:color="auto"/>
        <w:bottom w:val="none" w:sz="0" w:space="0" w:color="auto"/>
        <w:right w:val="none" w:sz="0" w:space="0" w:color="auto"/>
      </w:divBdr>
    </w:div>
    <w:div w:id="994920971">
      <w:bodyDiv w:val="1"/>
      <w:marLeft w:val="0"/>
      <w:marRight w:val="0"/>
      <w:marTop w:val="0"/>
      <w:marBottom w:val="0"/>
      <w:divBdr>
        <w:top w:val="none" w:sz="0" w:space="0" w:color="auto"/>
        <w:left w:val="none" w:sz="0" w:space="0" w:color="auto"/>
        <w:bottom w:val="none" w:sz="0" w:space="0" w:color="auto"/>
        <w:right w:val="none" w:sz="0" w:space="0" w:color="auto"/>
      </w:divBdr>
    </w:div>
    <w:div w:id="1012337441">
      <w:bodyDiv w:val="1"/>
      <w:marLeft w:val="0"/>
      <w:marRight w:val="0"/>
      <w:marTop w:val="0"/>
      <w:marBottom w:val="0"/>
      <w:divBdr>
        <w:top w:val="none" w:sz="0" w:space="0" w:color="auto"/>
        <w:left w:val="none" w:sz="0" w:space="0" w:color="auto"/>
        <w:bottom w:val="none" w:sz="0" w:space="0" w:color="auto"/>
        <w:right w:val="none" w:sz="0" w:space="0" w:color="auto"/>
      </w:divBdr>
    </w:div>
    <w:div w:id="1027608955">
      <w:bodyDiv w:val="1"/>
      <w:marLeft w:val="0"/>
      <w:marRight w:val="0"/>
      <w:marTop w:val="0"/>
      <w:marBottom w:val="0"/>
      <w:divBdr>
        <w:top w:val="none" w:sz="0" w:space="0" w:color="auto"/>
        <w:left w:val="none" w:sz="0" w:space="0" w:color="auto"/>
        <w:bottom w:val="none" w:sz="0" w:space="0" w:color="auto"/>
        <w:right w:val="none" w:sz="0" w:space="0" w:color="auto"/>
      </w:divBdr>
    </w:div>
    <w:div w:id="1061950635">
      <w:bodyDiv w:val="1"/>
      <w:marLeft w:val="0"/>
      <w:marRight w:val="0"/>
      <w:marTop w:val="0"/>
      <w:marBottom w:val="0"/>
      <w:divBdr>
        <w:top w:val="none" w:sz="0" w:space="0" w:color="auto"/>
        <w:left w:val="none" w:sz="0" w:space="0" w:color="auto"/>
        <w:bottom w:val="none" w:sz="0" w:space="0" w:color="auto"/>
        <w:right w:val="none" w:sz="0" w:space="0" w:color="auto"/>
      </w:divBdr>
    </w:div>
    <w:div w:id="1069377576">
      <w:bodyDiv w:val="1"/>
      <w:marLeft w:val="0"/>
      <w:marRight w:val="0"/>
      <w:marTop w:val="0"/>
      <w:marBottom w:val="0"/>
      <w:divBdr>
        <w:top w:val="none" w:sz="0" w:space="0" w:color="auto"/>
        <w:left w:val="none" w:sz="0" w:space="0" w:color="auto"/>
        <w:bottom w:val="none" w:sz="0" w:space="0" w:color="auto"/>
        <w:right w:val="none" w:sz="0" w:space="0" w:color="auto"/>
      </w:divBdr>
    </w:div>
    <w:div w:id="1110323918">
      <w:bodyDiv w:val="1"/>
      <w:marLeft w:val="0"/>
      <w:marRight w:val="0"/>
      <w:marTop w:val="0"/>
      <w:marBottom w:val="0"/>
      <w:divBdr>
        <w:top w:val="none" w:sz="0" w:space="0" w:color="auto"/>
        <w:left w:val="none" w:sz="0" w:space="0" w:color="auto"/>
        <w:bottom w:val="none" w:sz="0" w:space="0" w:color="auto"/>
        <w:right w:val="none" w:sz="0" w:space="0" w:color="auto"/>
      </w:divBdr>
    </w:div>
    <w:div w:id="1122724643">
      <w:bodyDiv w:val="1"/>
      <w:marLeft w:val="0"/>
      <w:marRight w:val="0"/>
      <w:marTop w:val="0"/>
      <w:marBottom w:val="0"/>
      <w:divBdr>
        <w:top w:val="none" w:sz="0" w:space="0" w:color="auto"/>
        <w:left w:val="none" w:sz="0" w:space="0" w:color="auto"/>
        <w:bottom w:val="none" w:sz="0" w:space="0" w:color="auto"/>
        <w:right w:val="none" w:sz="0" w:space="0" w:color="auto"/>
      </w:divBdr>
    </w:div>
    <w:div w:id="1122991448">
      <w:bodyDiv w:val="1"/>
      <w:marLeft w:val="0"/>
      <w:marRight w:val="0"/>
      <w:marTop w:val="0"/>
      <w:marBottom w:val="0"/>
      <w:divBdr>
        <w:top w:val="none" w:sz="0" w:space="0" w:color="auto"/>
        <w:left w:val="none" w:sz="0" w:space="0" w:color="auto"/>
        <w:bottom w:val="none" w:sz="0" w:space="0" w:color="auto"/>
        <w:right w:val="none" w:sz="0" w:space="0" w:color="auto"/>
      </w:divBdr>
    </w:div>
    <w:div w:id="1136488292">
      <w:bodyDiv w:val="1"/>
      <w:marLeft w:val="0"/>
      <w:marRight w:val="0"/>
      <w:marTop w:val="0"/>
      <w:marBottom w:val="0"/>
      <w:divBdr>
        <w:top w:val="none" w:sz="0" w:space="0" w:color="auto"/>
        <w:left w:val="none" w:sz="0" w:space="0" w:color="auto"/>
        <w:bottom w:val="none" w:sz="0" w:space="0" w:color="auto"/>
        <w:right w:val="none" w:sz="0" w:space="0" w:color="auto"/>
      </w:divBdr>
    </w:div>
    <w:div w:id="1168715167">
      <w:bodyDiv w:val="1"/>
      <w:marLeft w:val="0"/>
      <w:marRight w:val="0"/>
      <w:marTop w:val="0"/>
      <w:marBottom w:val="0"/>
      <w:divBdr>
        <w:top w:val="none" w:sz="0" w:space="0" w:color="auto"/>
        <w:left w:val="none" w:sz="0" w:space="0" w:color="auto"/>
        <w:bottom w:val="none" w:sz="0" w:space="0" w:color="auto"/>
        <w:right w:val="none" w:sz="0" w:space="0" w:color="auto"/>
      </w:divBdr>
    </w:div>
    <w:div w:id="1189948127">
      <w:bodyDiv w:val="1"/>
      <w:marLeft w:val="0"/>
      <w:marRight w:val="0"/>
      <w:marTop w:val="0"/>
      <w:marBottom w:val="0"/>
      <w:divBdr>
        <w:top w:val="none" w:sz="0" w:space="0" w:color="auto"/>
        <w:left w:val="none" w:sz="0" w:space="0" w:color="auto"/>
        <w:bottom w:val="none" w:sz="0" w:space="0" w:color="auto"/>
        <w:right w:val="none" w:sz="0" w:space="0" w:color="auto"/>
      </w:divBdr>
    </w:div>
    <w:div w:id="1209101378">
      <w:bodyDiv w:val="1"/>
      <w:marLeft w:val="0"/>
      <w:marRight w:val="0"/>
      <w:marTop w:val="0"/>
      <w:marBottom w:val="0"/>
      <w:divBdr>
        <w:top w:val="none" w:sz="0" w:space="0" w:color="auto"/>
        <w:left w:val="none" w:sz="0" w:space="0" w:color="auto"/>
        <w:bottom w:val="none" w:sz="0" w:space="0" w:color="auto"/>
        <w:right w:val="none" w:sz="0" w:space="0" w:color="auto"/>
      </w:divBdr>
    </w:div>
    <w:div w:id="1248266289">
      <w:bodyDiv w:val="1"/>
      <w:marLeft w:val="0"/>
      <w:marRight w:val="0"/>
      <w:marTop w:val="0"/>
      <w:marBottom w:val="0"/>
      <w:divBdr>
        <w:top w:val="none" w:sz="0" w:space="0" w:color="auto"/>
        <w:left w:val="none" w:sz="0" w:space="0" w:color="auto"/>
        <w:bottom w:val="none" w:sz="0" w:space="0" w:color="auto"/>
        <w:right w:val="none" w:sz="0" w:space="0" w:color="auto"/>
      </w:divBdr>
    </w:div>
    <w:div w:id="1251625178">
      <w:bodyDiv w:val="1"/>
      <w:marLeft w:val="0"/>
      <w:marRight w:val="0"/>
      <w:marTop w:val="0"/>
      <w:marBottom w:val="0"/>
      <w:divBdr>
        <w:top w:val="none" w:sz="0" w:space="0" w:color="auto"/>
        <w:left w:val="none" w:sz="0" w:space="0" w:color="auto"/>
        <w:bottom w:val="none" w:sz="0" w:space="0" w:color="auto"/>
        <w:right w:val="none" w:sz="0" w:space="0" w:color="auto"/>
      </w:divBdr>
    </w:div>
    <w:div w:id="1267038757">
      <w:bodyDiv w:val="1"/>
      <w:marLeft w:val="0"/>
      <w:marRight w:val="0"/>
      <w:marTop w:val="0"/>
      <w:marBottom w:val="0"/>
      <w:divBdr>
        <w:top w:val="none" w:sz="0" w:space="0" w:color="auto"/>
        <w:left w:val="none" w:sz="0" w:space="0" w:color="auto"/>
        <w:bottom w:val="none" w:sz="0" w:space="0" w:color="auto"/>
        <w:right w:val="none" w:sz="0" w:space="0" w:color="auto"/>
      </w:divBdr>
    </w:div>
    <w:div w:id="1273826769">
      <w:bodyDiv w:val="1"/>
      <w:marLeft w:val="0"/>
      <w:marRight w:val="0"/>
      <w:marTop w:val="0"/>
      <w:marBottom w:val="0"/>
      <w:divBdr>
        <w:top w:val="none" w:sz="0" w:space="0" w:color="auto"/>
        <w:left w:val="none" w:sz="0" w:space="0" w:color="auto"/>
        <w:bottom w:val="none" w:sz="0" w:space="0" w:color="auto"/>
        <w:right w:val="none" w:sz="0" w:space="0" w:color="auto"/>
      </w:divBdr>
    </w:div>
    <w:div w:id="1295714556">
      <w:bodyDiv w:val="1"/>
      <w:marLeft w:val="0"/>
      <w:marRight w:val="0"/>
      <w:marTop w:val="0"/>
      <w:marBottom w:val="0"/>
      <w:divBdr>
        <w:top w:val="none" w:sz="0" w:space="0" w:color="auto"/>
        <w:left w:val="none" w:sz="0" w:space="0" w:color="auto"/>
        <w:bottom w:val="none" w:sz="0" w:space="0" w:color="auto"/>
        <w:right w:val="none" w:sz="0" w:space="0" w:color="auto"/>
      </w:divBdr>
    </w:div>
    <w:div w:id="1296595066">
      <w:bodyDiv w:val="1"/>
      <w:marLeft w:val="0"/>
      <w:marRight w:val="0"/>
      <w:marTop w:val="0"/>
      <w:marBottom w:val="0"/>
      <w:divBdr>
        <w:top w:val="none" w:sz="0" w:space="0" w:color="auto"/>
        <w:left w:val="none" w:sz="0" w:space="0" w:color="auto"/>
        <w:bottom w:val="none" w:sz="0" w:space="0" w:color="auto"/>
        <w:right w:val="none" w:sz="0" w:space="0" w:color="auto"/>
      </w:divBdr>
    </w:div>
    <w:div w:id="1315991994">
      <w:bodyDiv w:val="1"/>
      <w:marLeft w:val="0"/>
      <w:marRight w:val="0"/>
      <w:marTop w:val="0"/>
      <w:marBottom w:val="0"/>
      <w:divBdr>
        <w:top w:val="none" w:sz="0" w:space="0" w:color="auto"/>
        <w:left w:val="none" w:sz="0" w:space="0" w:color="auto"/>
        <w:bottom w:val="none" w:sz="0" w:space="0" w:color="auto"/>
        <w:right w:val="none" w:sz="0" w:space="0" w:color="auto"/>
      </w:divBdr>
    </w:div>
    <w:div w:id="1322806974">
      <w:bodyDiv w:val="1"/>
      <w:marLeft w:val="0"/>
      <w:marRight w:val="0"/>
      <w:marTop w:val="0"/>
      <w:marBottom w:val="0"/>
      <w:divBdr>
        <w:top w:val="none" w:sz="0" w:space="0" w:color="auto"/>
        <w:left w:val="none" w:sz="0" w:space="0" w:color="auto"/>
        <w:bottom w:val="none" w:sz="0" w:space="0" w:color="auto"/>
        <w:right w:val="none" w:sz="0" w:space="0" w:color="auto"/>
      </w:divBdr>
    </w:div>
    <w:div w:id="1329752214">
      <w:bodyDiv w:val="1"/>
      <w:marLeft w:val="0"/>
      <w:marRight w:val="0"/>
      <w:marTop w:val="0"/>
      <w:marBottom w:val="0"/>
      <w:divBdr>
        <w:top w:val="none" w:sz="0" w:space="0" w:color="auto"/>
        <w:left w:val="none" w:sz="0" w:space="0" w:color="auto"/>
        <w:bottom w:val="none" w:sz="0" w:space="0" w:color="auto"/>
        <w:right w:val="none" w:sz="0" w:space="0" w:color="auto"/>
      </w:divBdr>
    </w:div>
    <w:div w:id="1340309423">
      <w:bodyDiv w:val="1"/>
      <w:marLeft w:val="0"/>
      <w:marRight w:val="0"/>
      <w:marTop w:val="0"/>
      <w:marBottom w:val="0"/>
      <w:divBdr>
        <w:top w:val="none" w:sz="0" w:space="0" w:color="auto"/>
        <w:left w:val="none" w:sz="0" w:space="0" w:color="auto"/>
        <w:bottom w:val="none" w:sz="0" w:space="0" w:color="auto"/>
        <w:right w:val="none" w:sz="0" w:space="0" w:color="auto"/>
      </w:divBdr>
    </w:div>
    <w:div w:id="1351952390">
      <w:bodyDiv w:val="1"/>
      <w:marLeft w:val="0"/>
      <w:marRight w:val="0"/>
      <w:marTop w:val="0"/>
      <w:marBottom w:val="0"/>
      <w:divBdr>
        <w:top w:val="none" w:sz="0" w:space="0" w:color="auto"/>
        <w:left w:val="none" w:sz="0" w:space="0" w:color="auto"/>
        <w:bottom w:val="none" w:sz="0" w:space="0" w:color="auto"/>
        <w:right w:val="none" w:sz="0" w:space="0" w:color="auto"/>
      </w:divBdr>
    </w:div>
    <w:div w:id="1362050566">
      <w:bodyDiv w:val="1"/>
      <w:marLeft w:val="0"/>
      <w:marRight w:val="0"/>
      <w:marTop w:val="0"/>
      <w:marBottom w:val="0"/>
      <w:divBdr>
        <w:top w:val="none" w:sz="0" w:space="0" w:color="auto"/>
        <w:left w:val="none" w:sz="0" w:space="0" w:color="auto"/>
        <w:bottom w:val="none" w:sz="0" w:space="0" w:color="auto"/>
        <w:right w:val="none" w:sz="0" w:space="0" w:color="auto"/>
      </w:divBdr>
    </w:div>
    <w:div w:id="1367678053">
      <w:bodyDiv w:val="1"/>
      <w:marLeft w:val="0"/>
      <w:marRight w:val="0"/>
      <w:marTop w:val="0"/>
      <w:marBottom w:val="0"/>
      <w:divBdr>
        <w:top w:val="none" w:sz="0" w:space="0" w:color="auto"/>
        <w:left w:val="none" w:sz="0" w:space="0" w:color="auto"/>
        <w:bottom w:val="none" w:sz="0" w:space="0" w:color="auto"/>
        <w:right w:val="none" w:sz="0" w:space="0" w:color="auto"/>
      </w:divBdr>
    </w:div>
    <w:div w:id="1394040220">
      <w:bodyDiv w:val="1"/>
      <w:marLeft w:val="0"/>
      <w:marRight w:val="0"/>
      <w:marTop w:val="0"/>
      <w:marBottom w:val="0"/>
      <w:divBdr>
        <w:top w:val="none" w:sz="0" w:space="0" w:color="auto"/>
        <w:left w:val="none" w:sz="0" w:space="0" w:color="auto"/>
        <w:bottom w:val="none" w:sz="0" w:space="0" w:color="auto"/>
        <w:right w:val="none" w:sz="0" w:space="0" w:color="auto"/>
      </w:divBdr>
    </w:div>
    <w:div w:id="1396003270">
      <w:bodyDiv w:val="1"/>
      <w:marLeft w:val="0"/>
      <w:marRight w:val="0"/>
      <w:marTop w:val="0"/>
      <w:marBottom w:val="0"/>
      <w:divBdr>
        <w:top w:val="none" w:sz="0" w:space="0" w:color="auto"/>
        <w:left w:val="none" w:sz="0" w:space="0" w:color="auto"/>
        <w:bottom w:val="none" w:sz="0" w:space="0" w:color="auto"/>
        <w:right w:val="none" w:sz="0" w:space="0" w:color="auto"/>
      </w:divBdr>
    </w:div>
    <w:div w:id="1402943166">
      <w:bodyDiv w:val="1"/>
      <w:marLeft w:val="0"/>
      <w:marRight w:val="0"/>
      <w:marTop w:val="0"/>
      <w:marBottom w:val="0"/>
      <w:divBdr>
        <w:top w:val="none" w:sz="0" w:space="0" w:color="auto"/>
        <w:left w:val="none" w:sz="0" w:space="0" w:color="auto"/>
        <w:bottom w:val="none" w:sz="0" w:space="0" w:color="auto"/>
        <w:right w:val="none" w:sz="0" w:space="0" w:color="auto"/>
      </w:divBdr>
    </w:div>
    <w:div w:id="1424452016">
      <w:bodyDiv w:val="1"/>
      <w:marLeft w:val="0"/>
      <w:marRight w:val="0"/>
      <w:marTop w:val="0"/>
      <w:marBottom w:val="0"/>
      <w:divBdr>
        <w:top w:val="none" w:sz="0" w:space="0" w:color="auto"/>
        <w:left w:val="none" w:sz="0" w:space="0" w:color="auto"/>
        <w:bottom w:val="none" w:sz="0" w:space="0" w:color="auto"/>
        <w:right w:val="none" w:sz="0" w:space="0" w:color="auto"/>
      </w:divBdr>
    </w:div>
    <w:div w:id="1426269589">
      <w:bodyDiv w:val="1"/>
      <w:marLeft w:val="0"/>
      <w:marRight w:val="0"/>
      <w:marTop w:val="0"/>
      <w:marBottom w:val="0"/>
      <w:divBdr>
        <w:top w:val="none" w:sz="0" w:space="0" w:color="auto"/>
        <w:left w:val="none" w:sz="0" w:space="0" w:color="auto"/>
        <w:bottom w:val="none" w:sz="0" w:space="0" w:color="auto"/>
        <w:right w:val="none" w:sz="0" w:space="0" w:color="auto"/>
      </w:divBdr>
    </w:div>
    <w:div w:id="1427573410">
      <w:bodyDiv w:val="1"/>
      <w:marLeft w:val="0"/>
      <w:marRight w:val="0"/>
      <w:marTop w:val="0"/>
      <w:marBottom w:val="0"/>
      <w:divBdr>
        <w:top w:val="none" w:sz="0" w:space="0" w:color="auto"/>
        <w:left w:val="none" w:sz="0" w:space="0" w:color="auto"/>
        <w:bottom w:val="none" w:sz="0" w:space="0" w:color="auto"/>
        <w:right w:val="none" w:sz="0" w:space="0" w:color="auto"/>
      </w:divBdr>
    </w:div>
    <w:div w:id="1436364902">
      <w:bodyDiv w:val="1"/>
      <w:marLeft w:val="0"/>
      <w:marRight w:val="0"/>
      <w:marTop w:val="0"/>
      <w:marBottom w:val="0"/>
      <w:divBdr>
        <w:top w:val="none" w:sz="0" w:space="0" w:color="auto"/>
        <w:left w:val="none" w:sz="0" w:space="0" w:color="auto"/>
        <w:bottom w:val="none" w:sz="0" w:space="0" w:color="auto"/>
        <w:right w:val="none" w:sz="0" w:space="0" w:color="auto"/>
      </w:divBdr>
    </w:div>
    <w:div w:id="1444955717">
      <w:bodyDiv w:val="1"/>
      <w:marLeft w:val="0"/>
      <w:marRight w:val="0"/>
      <w:marTop w:val="0"/>
      <w:marBottom w:val="0"/>
      <w:divBdr>
        <w:top w:val="none" w:sz="0" w:space="0" w:color="auto"/>
        <w:left w:val="none" w:sz="0" w:space="0" w:color="auto"/>
        <w:bottom w:val="none" w:sz="0" w:space="0" w:color="auto"/>
        <w:right w:val="none" w:sz="0" w:space="0" w:color="auto"/>
      </w:divBdr>
    </w:div>
    <w:div w:id="1447117561">
      <w:bodyDiv w:val="1"/>
      <w:marLeft w:val="0"/>
      <w:marRight w:val="0"/>
      <w:marTop w:val="0"/>
      <w:marBottom w:val="0"/>
      <w:divBdr>
        <w:top w:val="none" w:sz="0" w:space="0" w:color="auto"/>
        <w:left w:val="none" w:sz="0" w:space="0" w:color="auto"/>
        <w:bottom w:val="none" w:sz="0" w:space="0" w:color="auto"/>
        <w:right w:val="none" w:sz="0" w:space="0" w:color="auto"/>
      </w:divBdr>
    </w:div>
    <w:div w:id="1447306149">
      <w:bodyDiv w:val="1"/>
      <w:marLeft w:val="0"/>
      <w:marRight w:val="0"/>
      <w:marTop w:val="0"/>
      <w:marBottom w:val="0"/>
      <w:divBdr>
        <w:top w:val="none" w:sz="0" w:space="0" w:color="auto"/>
        <w:left w:val="none" w:sz="0" w:space="0" w:color="auto"/>
        <w:bottom w:val="none" w:sz="0" w:space="0" w:color="auto"/>
        <w:right w:val="none" w:sz="0" w:space="0" w:color="auto"/>
      </w:divBdr>
    </w:div>
    <w:div w:id="1450202144">
      <w:bodyDiv w:val="1"/>
      <w:marLeft w:val="0"/>
      <w:marRight w:val="0"/>
      <w:marTop w:val="0"/>
      <w:marBottom w:val="0"/>
      <w:divBdr>
        <w:top w:val="none" w:sz="0" w:space="0" w:color="auto"/>
        <w:left w:val="none" w:sz="0" w:space="0" w:color="auto"/>
        <w:bottom w:val="none" w:sz="0" w:space="0" w:color="auto"/>
        <w:right w:val="none" w:sz="0" w:space="0" w:color="auto"/>
      </w:divBdr>
    </w:div>
    <w:div w:id="1476145624">
      <w:bodyDiv w:val="1"/>
      <w:marLeft w:val="0"/>
      <w:marRight w:val="0"/>
      <w:marTop w:val="0"/>
      <w:marBottom w:val="0"/>
      <w:divBdr>
        <w:top w:val="none" w:sz="0" w:space="0" w:color="auto"/>
        <w:left w:val="none" w:sz="0" w:space="0" w:color="auto"/>
        <w:bottom w:val="none" w:sz="0" w:space="0" w:color="auto"/>
        <w:right w:val="none" w:sz="0" w:space="0" w:color="auto"/>
      </w:divBdr>
    </w:div>
    <w:div w:id="1478646312">
      <w:bodyDiv w:val="1"/>
      <w:marLeft w:val="0"/>
      <w:marRight w:val="0"/>
      <w:marTop w:val="0"/>
      <w:marBottom w:val="0"/>
      <w:divBdr>
        <w:top w:val="none" w:sz="0" w:space="0" w:color="auto"/>
        <w:left w:val="none" w:sz="0" w:space="0" w:color="auto"/>
        <w:bottom w:val="none" w:sz="0" w:space="0" w:color="auto"/>
        <w:right w:val="none" w:sz="0" w:space="0" w:color="auto"/>
      </w:divBdr>
    </w:div>
    <w:div w:id="1488592669">
      <w:bodyDiv w:val="1"/>
      <w:marLeft w:val="0"/>
      <w:marRight w:val="0"/>
      <w:marTop w:val="0"/>
      <w:marBottom w:val="0"/>
      <w:divBdr>
        <w:top w:val="none" w:sz="0" w:space="0" w:color="auto"/>
        <w:left w:val="none" w:sz="0" w:space="0" w:color="auto"/>
        <w:bottom w:val="none" w:sz="0" w:space="0" w:color="auto"/>
        <w:right w:val="none" w:sz="0" w:space="0" w:color="auto"/>
      </w:divBdr>
    </w:div>
    <w:div w:id="1502354748">
      <w:bodyDiv w:val="1"/>
      <w:marLeft w:val="0"/>
      <w:marRight w:val="0"/>
      <w:marTop w:val="0"/>
      <w:marBottom w:val="0"/>
      <w:divBdr>
        <w:top w:val="none" w:sz="0" w:space="0" w:color="auto"/>
        <w:left w:val="none" w:sz="0" w:space="0" w:color="auto"/>
        <w:bottom w:val="none" w:sz="0" w:space="0" w:color="auto"/>
        <w:right w:val="none" w:sz="0" w:space="0" w:color="auto"/>
      </w:divBdr>
    </w:div>
    <w:div w:id="1524588004">
      <w:bodyDiv w:val="1"/>
      <w:marLeft w:val="0"/>
      <w:marRight w:val="0"/>
      <w:marTop w:val="0"/>
      <w:marBottom w:val="0"/>
      <w:divBdr>
        <w:top w:val="none" w:sz="0" w:space="0" w:color="auto"/>
        <w:left w:val="none" w:sz="0" w:space="0" w:color="auto"/>
        <w:bottom w:val="none" w:sz="0" w:space="0" w:color="auto"/>
        <w:right w:val="none" w:sz="0" w:space="0" w:color="auto"/>
      </w:divBdr>
    </w:div>
    <w:div w:id="1548687308">
      <w:bodyDiv w:val="1"/>
      <w:marLeft w:val="0"/>
      <w:marRight w:val="0"/>
      <w:marTop w:val="0"/>
      <w:marBottom w:val="0"/>
      <w:divBdr>
        <w:top w:val="none" w:sz="0" w:space="0" w:color="auto"/>
        <w:left w:val="none" w:sz="0" w:space="0" w:color="auto"/>
        <w:bottom w:val="none" w:sz="0" w:space="0" w:color="auto"/>
        <w:right w:val="none" w:sz="0" w:space="0" w:color="auto"/>
      </w:divBdr>
    </w:div>
    <w:div w:id="1557424887">
      <w:bodyDiv w:val="1"/>
      <w:marLeft w:val="0"/>
      <w:marRight w:val="0"/>
      <w:marTop w:val="0"/>
      <w:marBottom w:val="0"/>
      <w:divBdr>
        <w:top w:val="none" w:sz="0" w:space="0" w:color="auto"/>
        <w:left w:val="none" w:sz="0" w:space="0" w:color="auto"/>
        <w:bottom w:val="none" w:sz="0" w:space="0" w:color="auto"/>
        <w:right w:val="none" w:sz="0" w:space="0" w:color="auto"/>
      </w:divBdr>
    </w:div>
    <w:div w:id="1578976440">
      <w:bodyDiv w:val="1"/>
      <w:marLeft w:val="0"/>
      <w:marRight w:val="0"/>
      <w:marTop w:val="0"/>
      <w:marBottom w:val="0"/>
      <w:divBdr>
        <w:top w:val="none" w:sz="0" w:space="0" w:color="auto"/>
        <w:left w:val="none" w:sz="0" w:space="0" w:color="auto"/>
        <w:bottom w:val="none" w:sz="0" w:space="0" w:color="auto"/>
        <w:right w:val="none" w:sz="0" w:space="0" w:color="auto"/>
      </w:divBdr>
    </w:div>
    <w:div w:id="1579174460">
      <w:bodyDiv w:val="1"/>
      <w:marLeft w:val="0"/>
      <w:marRight w:val="0"/>
      <w:marTop w:val="0"/>
      <w:marBottom w:val="0"/>
      <w:divBdr>
        <w:top w:val="none" w:sz="0" w:space="0" w:color="auto"/>
        <w:left w:val="none" w:sz="0" w:space="0" w:color="auto"/>
        <w:bottom w:val="none" w:sz="0" w:space="0" w:color="auto"/>
        <w:right w:val="none" w:sz="0" w:space="0" w:color="auto"/>
      </w:divBdr>
    </w:div>
    <w:div w:id="1579746293">
      <w:bodyDiv w:val="1"/>
      <w:marLeft w:val="0"/>
      <w:marRight w:val="0"/>
      <w:marTop w:val="0"/>
      <w:marBottom w:val="0"/>
      <w:divBdr>
        <w:top w:val="none" w:sz="0" w:space="0" w:color="auto"/>
        <w:left w:val="none" w:sz="0" w:space="0" w:color="auto"/>
        <w:bottom w:val="none" w:sz="0" w:space="0" w:color="auto"/>
        <w:right w:val="none" w:sz="0" w:space="0" w:color="auto"/>
      </w:divBdr>
    </w:div>
    <w:div w:id="1593318735">
      <w:bodyDiv w:val="1"/>
      <w:marLeft w:val="0"/>
      <w:marRight w:val="0"/>
      <w:marTop w:val="0"/>
      <w:marBottom w:val="0"/>
      <w:divBdr>
        <w:top w:val="none" w:sz="0" w:space="0" w:color="auto"/>
        <w:left w:val="none" w:sz="0" w:space="0" w:color="auto"/>
        <w:bottom w:val="none" w:sz="0" w:space="0" w:color="auto"/>
        <w:right w:val="none" w:sz="0" w:space="0" w:color="auto"/>
      </w:divBdr>
    </w:div>
    <w:div w:id="1616860763">
      <w:bodyDiv w:val="1"/>
      <w:marLeft w:val="0"/>
      <w:marRight w:val="0"/>
      <w:marTop w:val="0"/>
      <w:marBottom w:val="0"/>
      <w:divBdr>
        <w:top w:val="none" w:sz="0" w:space="0" w:color="auto"/>
        <w:left w:val="none" w:sz="0" w:space="0" w:color="auto"/>
        <w:bottom w:val="none" w:sz="0" w:space="0" w:color="auto"/>
        <w:right w:val="none" w:sz="0" w:space="0" w:color="auto"/>
      </w:divBdr>
    </w:div>
    <w:div w:id="1620601849">
      <w:bodyDiv w:val="1"/>
      <w:marLeft w:val="0"/>
      <w:marRight w:val="0"/>
      <w:marTop w:val="0"/>
      <w:marBottom w:val="0"/>
      <w:divBdr>
        <w:top w:val="none" w:sz="0" w:space="0" w:color="auto"/>
        <w:left w:val="none" w:sz="0" w:space="0" w:color="auto"/>
        <w:bottom w:val="none" w:sz="0" w:space="0" w:color="auto"/>
        <w:right w:val="none" w:sz="0" w:space="0" w:color="auto"/>
      </w:divBdr>
    </w:div>
    <w:div w:id="1624968739">
      <w:bodyDiv w:val="1"/>
      <w:marLeft w:val="0"/>
      <w:marRight w:val="0"/>
      <w:marTop w:val="0"/>
      <w:marBottom w:val="0"/>
      <w:divBdr>
        <w:top w:val="none" w:sz="0" w:space="0" w:color="auto"/>
        <w:left w:val="none" w:sz="0" w:space="0" w:color="auto"/>
        <w:bottom w:val="none" w:sz="0" w:space="0" w:color="auto"/>
        <w:right w:val="none" w:sz="0" w:space="0" w:color="auto"/>
      </w:divBdr>
    </w:div>
    <w:div w:id="1640115078">
      <w:bodyDiv w:val="1"/>
      <w:marLeft w:val="0"/>
      <w:marRight w:val="0"/>
      <w:marTop w:val="0"/>
      <w:marBottom w:val="0"/>
      <w:divBdr>
        <w:top w:val="none" w:sz="0" w:space="0" w:color="auto"/>
        <w:left w:val="none" w:sz="0" w:space="0" w:color="auto"/>
        <w:bottom w:val="none" w:sz="0" w:space="0" w:color="auto"/>
        <w:right w:val="none" w:sz="0" w:space="0" w:color="auto"/>
      </w:divBdr>
    </w:div>
    <w:div w:id="1659192044">
      <w:bodyDiv w:val="1"/>
      <w:marLeft w:val="0"/>
      <w:marRight w:val="0"/>
      <w:marTop w:val="0"/>
      <w:marBottom w:val="0"/>
      <w:divBdr>
        <w:top w:val="none" w:sz="0" w:space="0" w:color="auto"/>
        <w:left w:val="none" w:sz="0" w:space="0" w:color="auto"/>
        <w:bottom w:val="none" w:sz="0" w:space="0" w:color="auto"/>
        <w:right w:val="none" w:sz="0" w:space="0" w:color="auto"/>
      </w:divBdr>
    </w:div>
    <w:div w:id="1674184036">
      <w:bodyDiv w:val="1"/>
      <w:marLeft w:val="0"/>
      <w:marRight w:val="0"/>
      <w:marTop w:val="0"/>
      <w:marBottom w:val="0"/>
      <w:divBdr>
        <w:top w:val="none" w:sz="0" w:space="0" w:color="auto"/>
        <w:left w:val="none" w:sz="0" w:space="0" w:color="auto"/>
        <w:bottom w:val="none" w:sz="0" w:space="0" w:color="auto"/>
        <w:right w:val="none" w:sz="0" w:space="0" w:color="auto"/>
      </w:divBdr>
    </w:div>
    <w:div w:id="1679889903">
      <w:bodyDiv w:val="1"/>
      <w:marLeft w:val="0"/>
      <w:marRight w:val="0"/>
      <w:marTop w:val="0"/>
      <w:marBottom w:val="0"/>
      <w:divBdr>
        <w:top w:val="none" w:sz="0" w:space="0" w:color="auto"/>
        <w:left w:val="none" w:sz="0" w:space="0" w:color="auto"/>
        <w:bottom w:val="none" w:sz="0" w:space="0" w:color="auto"/>
        <w:right w:val="none" w:sz="0" w:space="0" w:color="auto"/>
      </w:divBdr>
    </w:div>
    <w:div w:id="1681656845">
      <w:bodyDiv w:val="1"/>
      <w:marLeft w:val="0"/>
      <w:marRight w:val="0"/>
      <w:marTop w:val="0"/>
      <w:marBottom w:val="0"/>
      <w:divBdr>
        <w:top w:val="none" w:sz="0" w:space="0" w:color="auto"/>
        <w:left w:val="none" w:sz="0" w:space="0" w:color="auto"/>
        <w:bottom w:val="none" w:sz="0" w:space="0" w:color="auto"/>
        <w:right w:val="none" w:sz="0" w:space="0" w:color="auto"/>
      </w:divBdr>
    </w:div>
    <w:div w:id="1693192199">
      <w:bodyDiv w:val="1"/>
      <w:marLeft w:val="0"/>
      <w:marRight w:val="0"/>
      <w:marTop w:val="0"/>
      <w:marBottom w:val="0"/>
      <w:divBdr>
        <w:top w:val="none" w:sz="0" w:space="0" w:color="auto"/>
        <w:left w:val="none" w:sz="0" w:space="0" w:color="auto"/>
        <w:bottom w:val="none" w:sz="0" w:space="0" w:color="auto"/>
        <w:right w:val="none" w:sz="0" w:space="0" w:color="auto"/>
      </w:divBdr>
    </w:div>
    <w:div w:id="1713384896">
      <w:bodyDiv w:val="1"/>
      <w:marLeft w:val="0"/>
      <w:marRight w:val="0"/>
      <w:marTop w:val="0"/>
      <w:marBottom w:val="0"/>
      <w:divBdr>
        <w:top w:val="none" w:sz="0" w:space="0" w:color="auto"/>
        <w:left w:val="none" w:sz="0" w:space="0" w:color="auto"/>
        <w:bottom w:val="none" w:sz="0" w:space="0" w:color="auto"/>
        <w:right w:val="none" w:sz="0" w:space="0" w:color="auto"/>
      </w:divBdr>
    </w:div>
    <w:div w:id="1745487423">
      <w:bodyDiv w:val="1"/>
      <w:marLeft w:val="0"/>
      <w:marRight w:val="0"/>
      <w:marTop w:val="0"/>
      <w:marBottom w:val="0"/>
      <w:divBdr>
        <w:top w:val="none" w:sz="0" w:space="0" w:color="auto"/>
        <w:left w:val="none" w:sz="0" w:space="0" w:color="auto"/>
        <w:bottom w:val="none" w:sz="0" w:space="0" w:color="auto"/>
        <w:right w:val="none" w:sz="0" w:space="0" w:color="auto"/>
      </w:divBdr>
    </w:div>
    <w:div w:id="1763990416">
      <w:bodyDiv w:val="1"/>
      <w:marLeft w:val="0"/>
      <w:marRight w:val="0"/>
      <w:marTop w:val="0"/>
      <w:marBottom w:val="0"/>
      <w:divBdr>
        <w:top w:val="none" w:sz="0" w:space="0" w:color="auto"/>
        <w:left w:val="none" w:sz="0" w:space="0" w:color="auto"/>
        <w:bottom w:val="none" w:sz="0" w:space="0" w:color="auto"/>
        <w:right w:val="none" w:sz="0" w:space="0" w:color="auto"/>
      </w:divBdr>
    </w:div>
    <w:div w:id="1765566658">
      <w:bodyDiv w:val="1"/>
      <w:marLeft w:val="0"/>
      <w:marRight w:val="0"/>
      <w:marTop w:val="0"/>
      <w:marBottom w:val="0"/>
      <w:divBdr>
        <w:top w:val="none" w:sz="0" w:space="0" w:color="auto"/>
        <w:left w:val="none" w:sz="0" w:space="0" w:color="auto"/>
        <w:bottom w:val="none" w:sz="0" w:space="0" w:color="auto"/>
        <w:right w:val="none" w:sz="0" w:space="0" w:color="auto"/>
      </w:divBdr>
    </w:div>
    <w:div w:id="1768113659">
      <w:bodyDiv w:val="1"/>
      <w:marLeft w:val="0"/>
      <w:marRight w:val="0"/>
      <w:marTop w:val="0"/>
      <w:marBottom w:val="0"/>
      <w:divBdr>
        <w:top w:val="none" w:sz="0" w:space="0" w:color="auto"/>
        <w:left w:val="none" w:sz="0" w:space="0" w:color="auto"/>
        <w:bottom w:val="none" w:sz="0" w:space="0" w:color="auto"/>
        <w:right w:val="none" w:sz="0" w:space="0" w:color="auto"/>
      </w:divBdr>
    </w:div>
    <w:div w:id="1772241931">
      <w:bodyDiv w:val="1"/>
      <w:marLeft w:val="0"/>
      <w:marRight w:val="0"/>
      <w:marTop w:val="0"/>
      <w:marBottom w:val="0"/>
      <w:divBdr>
        <w:top w:val="none" w:sz="0" w:space="0" w:color="auto"/>
        <w:left w:val="none" w:sz="0" w:space="0" w:color="auto"/>
        <w:bottom w:val="none" w:sz="0" w:space="0" w:color="auto"/>
        <w:right w:val="none" w:sz="0" w:space="0" w:color="auto"/>
      </w:divBdr>
    </w:div>
    <w:div w:id="1775318763">
      <w:bodyDiv w:val="1"/>
      <w:marLeft w:val="0"/>
      <w:marRight w:val="0"/>
      <w:marTop w:val="0"/>
      <w:marBottom w:val="0"/>
      <w:divBdr>
        <w:top w:val="none" w:sz="0" w:space="0" w:color="auto"/>
        <w:left w:val="none" w:sz="0" w:space="0" w:color="auto"/>
        <w:bottom w:val="none" w:sz="0" w:space="0" w:color="auto"/>
        <w:right w:val="none" w:sz="0" w:space="0" w:color="auto"/>
      </w:divBdr>
    </w:div>
    <w:div w:id="1779446370">
      <w:bodyDiv w:val="1"/>
      <w:marLeft w:val="0"/>
      <w:marRight w:val="0"/>
      <w:marTop w:val="0"/>
      <w:marBottom w:val="0"/>
      <w:divBdr>
        <w:top w:val="none" w:sz="0" w:space="0" w:color="auto"/>
        <w:left w:val="none" w:sz="0" w:space="0" w:color="auto"/>
        <w:bottom w:val="none" w:sz="0" w:space="0" w:color="auto"/>
        <w:right w:val="none" w:sz="0" w:space="0" w:color="auto"/>
      </w:divBdr>
    </w:div>
    <w:div w:id="1806309602">
      <w:bodyDiv w:val="1"/>
      <w:marLeft w:val="0"/>
      <w:marRight w:val="0"/>
      <w:marTop w:val="0"/>
      <w:marBottom w:val="0"/>
      <w:divBdr>
        <w:top w:val="none" w:sz="0" w:space="0" w:color="auto"/>
        <w:left w:val="none" w:sz="0" w:space="0" w:color="auto"/>
        <w:bottom w:val="none" w:sz="0" w:space="0" w:color="auto"/>
        <w:right w:val="none" w:sz="0" w:space="0" w:color="auto"/>
      </w:divBdr>
    </w:div>
    <w:div w:id="1807578086">
      <w:bodyDiv w:val="1"/>
      <w:marLeft w:val="0"/>
      <w:marRight w:val="0"/>
      <w:marTop w:val="0"/>
      <w:marBottom w:val="0"/>
      <w:divBdr>
        <w:top w:val="none" w:sz="0" w:space="0" w:color="auto"/>
        <w:left w:val="none" w:sz="0" w:space="0" w:color="auto"/>
        <w:bottom w:val="none" w:sz="0" w:space="0" w:color="auto"/>
        <w:right w:val="none" w:sz="0" w:space="0" w:color="auto"/>
      </w:divBdr>
    </w:div>
    <w:div w:id="1813522162">
      <w:bodyDiv w:val="1"/>
      <w:marLeft w:val="0"/>
      <w:marRight w:val="0"/>
      <w:marTop w:val="0"/>
      <w:marBottom w:val="0"/>
      <w:divBdr>
        <w:top w:val="none" w:sz="0" w:space="0" w:color="auto"/>
        <w:left w:val="none" w:sz="0" w:space="0" w:color="auto"/>
        <w:bottom w:val="none" w:sz="0" w:space="0" w:color="auto"/>
        <w:right w:val="none" w:sz="0" w:space="0" w:color="auto"/>
      </w:divBdr>
    </w:div>
    <w:div w:id="1818104704">
      <w:bodyDiv w:val="1"/>
      <w:marLeft w:val="0"/>
      <w:marRight w:val="0"/>
      <w:marTop w:val="0"/>
      <w:marBottom w:val="0"/>
      <w:divBdr>
        <w:top w:val="none" w:sz="0" w:space="0" w:color="auto"/>
        <w:left w:val="none" w:sz="0" w:space="0" w:color="auto"/>
        <w:bottom w:val="none" w:sz="0" w:space="0" w:color="auto"/>
        <w:right w:val="none" w:sz="0" w:space="0" w:color="auto"/>
      </w:divBdr>
    </w:div>
    <w:div w:id="1838957796">
      <w:bodyDiv w:val="1"/>
      <w:marLeft w:val="0"/>
      <w:marRight w:val="0"/>
      <w:marTop w:val="0"/>
      <w:marBottom w:val="0"/>
      <w:divBdr>
        <w:top w:val="none" w:sz="0" w:space="0" w:color="auto"/>
        <w:left w:val="none" w:sz="0" w:space="0" w:color="auto"/>
        <w:bottom w:val="none" w:sz="0" w:space="0" w:color="auto"/>
        <w:right w:val="none" w:sz="0" w:space="0" w:color="auto"/>
      </w:divBdr>
    </w:div>
    <w:div w:id="1859999754">
      <w:bodyDiv w:val="1"/>
      <w:marLeft w:val="0"/>
      <w:marRight w:val="0"/>
      <w:marTop w:val="0"/>
      <w:marBottom w:val="0"/>
      <w:divBdr>
        <w:top w:val="none" w:sz="0" w:space="0" w:color="auto"/>
        <w:left w:val="none" w:sz="0" w:space="0" w:color="auto"/>
        <w:bottom w:val="none" w:sz="0" w:space="0" w:color="auto"/>
        <w:right w:val="none" w:sz="0" w:space="0" w:color="auto"/>
      </w:divBdr>
    </w:div>
    <w:div w:id="1870223107">
      <w:bodyDiv w:val="1"/>
      <w:marLeft w:val="0"/>
      <w:marRight w:val="0"/>
      <w:marTop w:val="0"/>
      <w:marBottom w:val="0"/>
      <w:divBdr>
        <w:top w:val="none" w:sz="0" w:space="0" w:color="auto"/>
        <w:left w:val="none" w:sz="0" w:space="0" w:color="auto"/>
        <w:bottom w:val="none" w:sz="0" w:space="0" w:color="auto"/>
        <w:right w:val="none" w:sz="0" w:space="0" w:color="auto"/>
      </w:divBdr>
    </w:div>
    <w:div w:id="1907836926">
      <w:bodyDiv w:val="1"/>
      <w:marLeft w:val="0"/>
      <w:marRight w:val="0"/>
      <w:marTop w:val="0"/>
      <w:marBottom w:val="0"/>
      <w:divBdr>
        <w:top w:val="none" w:sz="0" w:space="0" w:color="auto"/>
        <w:left w:val="none" w:sz="0" w:space="0" w:color="auto"/>
        <w:bottom w:val="none" w:sz="0" w:space="0" w:color="auto"/>
        <w:right w:val="none" w:sz="0" w:space="0" w:color="auto"/>
      </w:divBdr>
    </w:div>
    <w:div w:id="1908420716">
      <w:bodyDiv w:val="1"/>
      <w:marLeft w:val="0"/>
      <w:marRight w:val="0"/>
      <w:marTop w:val="0"/>
      <w:marBottom w:val="0"/>
      <w:divBdr>
        <w:top w:val="none" w:sz="0" w:space="0" w:color="auto"/>
        <w:left w:val="none" w:sz="0" w:space="0" w:color="auto"/>
        <w:bottom w:val="none" w:sz="0" w:space="0" w:color="auto"/>
        <w:right w:val="none" w:sz="0" w:space="0" w:color="auto"/>
      </w:divBdr>
    </w:div>
    <w:div w:id="1917594172">
      <w:bodyDiv w:val="1"/>
      <w:marLeft w:val="0"/>
      <w:marRight w:val="0"/>
      <w:marTop w:val="0"/>
      <w:marBottom w:val="0"/>
      <w:divBdr>
        <w:top w:val="none" w:sz="0" w:space="0" w:color="auto"/>
        <w:left w:val="none" w:sz="0" w:space="0" w:color="auto"/>
        <w:bottom w:val="none" w:sz="0" w:space="0" w:color="auto"/>
        <w:right w:val="none" w:sz="0" w:space="0" w:color="auto"/>
      </w:divBdr>
    </w:div>
    <w:div w:id="1939099470">
      <w:bodyDiv w:val="1"/>
      <w:marLeft w:val="0"/>
      <w:marRight w:val="0"/>
      <w:marTop w:val="0"/>
      <w:marBottom w:val="0"/>
      <w:divBdr>
        <w:top w:val="none" w:sz="0" w:space="0" w:color="auto"/>
        <w:left w:val="none" w:sz="0" w:space="0" w:color="auto"/>
        <w:bottom w:val="none" w:sz="0" w:space="0" w:color="auto"/>
        <w:right w:val="none" w:sz="0" w:space="0" w:color="auto"/>
      </w:divBdr>
    </w:div>
    <w:div w:id="1942839128">
      <w:bodyDiv w:val="1"/>
      <w:marLeft w:val="0"/>
      <w:marRight w:val="0"/>
      <w:marTop w:val="0"/>
      <w:marBottom w:val="0"/>
      <w:divBdr>
        <w:top w:val="none" w:sz="0" w:space="0" w:color="auto"/>
        <w:left w:val="none" w:sz="0" w:space="0" w:color="auto"/>
        <w:bottom w:val="none" w:sz="0" w:space="0" w:color="auto"/>
        <w:right w:val="none" w:sz="0" w:space="0" w:color="auto"/>
      </w:divBdr>
    </w:div>
    <w:div w:id="1947106701">
      <w:bodyDiv w:val="1"/>
      <w:marLeft w:val="0"/>
      <w:marRight w:val="0"/>
      <w:marTop w:val="0"/>
      <w:marBottom w:val="0"/>
      <w:divBdr>
        <w:top w:val="none" w:sz="0" w:space="0" w:color="auto"/>
        <w:left w:val="none" w:sz="0" w:space="0" w:color="auto"/>
        <w:bottom w:val="none" w:sz="0" w:space="0" w:color="auto"/>
        <w:right w:val="none" w:sz="0" w:space="0" w:color="auto"/>
      </w:divBdr>
    </w:div>
    <w:div w:id="1958875260">
      <w:bodyDiv w:val="1"/>
      <w:marLeft w:val="0"/>
      <w:marRight w:val="0"/>
      <w:marTop w:val="0"/>
      <w:marBottom w:val="0"/>
      <w:divBdr>
        <w:top w:val="none" w:sz="0" w:space="0" w:color="auto"/>
        <w:left w:val="none" w:sz="0" w:space="0" w:color="auto"/>
        <w:bottom w:val="none" w:sz="0" w:space="0" w:color="auto"/>
        <w:right w:val="none" w:sz="0" w:space="0" w:color="auto"/>
      </w:divBdr>
    </w:div>
    <w:div w:id="1963227432">
      <w:bodyDiv w:val="1"/>
      <w:marLeft w:val="0"/>
      <w:marRight w:val="0"/>
      <w:marTop w:val="0"/>
      <w:marBottom w:val="0"/>
      <w:divBdr>
        <w:top w:val="none" w:sz="0" w:space="0" w:color="auto"/>
        <w:left w:val="none" w:sz="0" w:space="0" w:color="auto"/>
        <w:bottom w:val="none" w:sz="0" w:space="0" w:color="auto"/>
        <w:right w:val="none" w:sz="0" w:space="0" w:color="auto"/>
      </w:divBdr>
    </w:div>
    <w:div w:id="1977640696">
      <w:bodyDiv w:val="1"/>
      <w:marLeft w:val="0"/>
      <w:marRight w:val="0"/>
      <w:marTop w:val="0"/>
      <w:marBottom w:val="0"/>
      <w:divBdr>
        <w:top w:val="none" w:sz="0" w:space="0" w:color="auto"/>
        <w:left w:val="none" w:sz="0" w:space="0" w:color="auto"/>
        <w:bottom w:val="none" w:sz="0" w:space="0" w:color="auto"/>
        <w:right w:val="none" w:sz="0" w:space="0" w:color="auto"/>
      </w:divBdr>
    </w:div>
    <w:div w:id="1992101694">
      <w:bodyDiv w:val="1"/>
      <w:marLeft w:val="0"/>
      <w:marRight w:val="0"/>
      <w:marTop w:val="0"/>
      <w:marBottom w:val="0"/>
      <w:divBdr>
        <w:top w:val="none" w:sz="0" w:space="0" w:color="auto"/>
        <w:left w:val="none" w:sz="0" w:space="0" w:color="auto"/>
        <w:bottom w:val="none" w:sz="0" w:space="0" w:color="auto"/>
        <w:right w:val="none" w:sz="0" w:space="0" w:color="auto"/>
      </w:divBdr>
    </w:div>
    <w:div w:id="2021393629">
      <w:bodyDiv w:val="1"/>
      <w:marLeft w:val="0"/>
      <w:marRight w:val="0"/>
      <w:marTop w:val="0"/>
      <w:marBottom w:val="0"/>
      <w:divBdr>
        <w:top w:val="none" w:sz="0" w:space="0" w:color="auto"/>
        <w:left w:val="none" w:sz="0" w:space="0" w:color="auto"/>
        <w:bottom w:val="none" w:sz="0" w:space="0" w:color="auto"/>
        <w:right w:val="none" w:sz="0" w:space="0" w:color="auto"/>
      </w:divBdr>
    </w:div>
    <w:div w:id="2073038706">
      <w:bodyDiv w:val="1"/>
      <w:marLeft w:val="0"/>
      <w:marRight w:val="0"/>
      <w:marTop w:val="0"/>
      <w:marBottom w:val="0"/>
      <w:divBdr>
        <w:top w:val="none" w:sz="0" w:space="0" w:color="auto"/>
        <w:left w:val="none" w:sz="0" w:space="0" w:color="auto"/>
        <w:bottom w:val="none" w:sz="0" w:space="0" w:color="auto"/>
        <w:right w:val="none" w:sz="0" w:space="0" w:color="auto"/>
      </w:divBdr>
    </w:div>
    <w:div w:id="2077622638">
      <w:bodyDiv w:val="1"/>
      <w:marLeft w:val="0"/>
      <w:marRight w:val="0"/>
      <w:marTop w:val="0"/>
      <w:marBottom w:val="0"/>
      <w:divBdr>
        <w:top w:val="none" w:sz="0" w:space="0" w:color="auto"/>
        <w:left w:val="none" w:sz="0" w:space="0" w:color="auto"/>
        <w:bottom w:val="none" w:sz="0" w:space="0" w:color="auto"/>
        <w:right w:val="none" w:sz="0" w:space="0" w:color="auto"/>
      </w:divBdr>
    </w:div>
    <w:div w:id="2078551201">
      <w:bodyDiv w:val="1"/>
      <w:marLeft w:val="0"/>
      <w:marRight w:val="0"/>
      <w:marTop w:val="0"/>
      <w:marBottom w:val="0"/>
      <w:divBdr>
        <w:top w:val="none" w:sz="0" w:space="0" w:color="auto"/>
        <w:left w:val="none" w:sz="0" w:space="0" w:color="auto"/>
        <w:bottom w:val="none" w:sz="0" w:space="0" w:color="auto"/>
        <w:right w:val="none" w:sz="0" w:space="0" w:color="auto"/>
      </w:divBdr>
    </w:div>
    <w:div w:id="2082292770">
      <w:bodyDiv w:val="1"/>
      <w:marLeft w:val="0"/>
      <w:marRight w:val="0"/>
      <w:marTop w:val="0"/>
      <w:marBottom w:val="0"/>
      <w:divBdr>
        <w:top w:val="none" w:sz="0" w:space="0" w:color="auto"/>
        <w:left w:val="none" w:sz="0" w:space="0" w:color="auto"/>
        <w:bottom w:val="none" w:sz="0" w:space="0" w:color="auto"/>
        <w:right w:val="none" w:sz="0" w:space="0" w:color="auto"/>
      </w:divBdr>
    </w:div>
    <w:div w:id="2086759912">
      <w:bodyDiv w:val="1"/>
      <w:marLeft w:val="0"/>
      <w:marRight w:val="0"/>
      <w:marTop w:val="0"/>
      <w:marBottom w:val="0"/>
      <w:divBdr>
        <w:top w:val="none" w:sz="0" w:space="0" w:color="auto"/>
        <w:left w:val="none" w:sz="0" w:space="0" w:color="auto"/>
        <w:bottom w:val="none" w:sz="0" w:space="0" w:color="auto"/>
        <w:right w:val="none" w:sz="0" w:space="0" w:color="auto"/>
      </w:divBdr>
    </w:div>
    <w:div w:id="2106025265">
      <w:bodyDiv w:val="1"/>
      <w:marLeft w:val="0"/>
      <w:marRight w:val="0"/>
      <w:marTop w:val="0"/>
      <w:marBottom w:val="0"/>
      <w:divBdr>
        <w:top w:val="none" w:sz="0" w:space="0" w:color="auto"/>
        <w:left w:val="none" w:sz="0" w:space="0" w:color="auto"/>
        <w:bottom w:val="none" w:sz="0" w:space="0" w:color="auto"/>
        <w:right w:val="none" w:sz="0" w:space="0" w:color="auto"/>
      </w:divBdr>
    </w:div>
    <w:div w:id="2122411510">
      <w:bodyDiv w:val="1"/>
      <w:marLeft w:val="0"/>
      <w:marRight w:val="0"/>
      <w:marTop w:val="0"/>
      <w:marBottom w:val="0"/>
      <w:divBdr>
        <w:top w:val="none" w:sz="0" w:space="0" w:color="auto"/>
        <w:left w:val="none" w:sz="0" w:space="0" w:color="auto"/>
        <w:bottom w:val="none" w:sz="0" w:space="0" w:color="auto"/>
        <w:right w:val="none" w:sz="0" w:space="0" w:color="auto"/>
      </w:divBdr>
    </w:div>
    <w:div w:id="2142188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98E67-CEF2-434C-ADBC-67715915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6179</TotalTime>
  <Pages>30</Pages>
  <Words>8754</Words>
  <Characters>49904</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Tshepo Gasenna</dc:creator>
  <cp:keywords/>
  <dc:description/>
  <cp:lastModifiedBy>Natasha Mulenga</cp:lastModifiedBy>
  <cp:revision>100</cp:revision>
  <cp:lastPrinted>2022-04-18T21:27:00Z</cp:lastPrinted>
  <dcterms:created xsi:type="dcterms:W3CDTF">2022-04-14T08:16:00Z</dcterms:created>
  <dcterms:modified xsi:type="dcterms:W3CDTF">2022-04-18T21:27:00Z</dcterms:modified>
</cp:coreProperties>
</file>